
<file path=[Content_Types].xml><?xml version="1.0" encoding="utf-8"?>
<Types xmlns="http://schemas.openxmlformats.org/package/2006/content-types">
  <Default Extension="gif" ContentType="image/gi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750DEA" w14:textId="77777777" w:rsidR="007E1A15" w:rsidRPr="001A473B" w:rsidRDefault="007E1A15" w:rsidP="007E1A15">
      <w:pPr>
        <w:spacing w:after="120" w:line="276" w:lineRule="auto"/>
        <w:jc w:val="both"/>
        <w:rPr>
          <w:rFonts w:ascii="Arial" w:hAnsi="Arial" w:cs="Arial"/>
          <w:lang w:val="de-DE"/>
        </w:rPr>
      </w:pPr>
      <w:r w:rsidRPr="001A473B">
        <w:rPr>
          <w:rFonts w:ascii="Arial" w:hAnsi="Arial" w:cs="Arial"/>
          <w:lang w:val="de-DE"/>
        </w:rPr>
        <w:t xml:space="preserve">Weltpremiere: </w:t>
      </w:r>
      <w:r>
        <w:rPr>
          <w:rFonts w:ascii="Arial" w:hAnsi="Arial" w:cs="Arial"/>
          <w:lang w:val="de-DE"/>
        </w:rPr>
        <w:t>LASERTEC 65 DED hybrid</w:t>
      </w:r>
      <w:r w:rsidRPr="001A473B">
        <w:rPr>
          <w:rFonts w:ascii="Arial" w:hAnsi="Arial" w:cs="Arial"/>
          <w:lang w:val="de-DE"/>
        </w:rPr>
        <w:t xml:space="preserve"> 2. Generation</w:t>
      </w:r>
    </w:p>
    <w:p w14:paraId="7CA3A172" w14:textId="77777777" w:rsidR="007E1A15" w:rsidRPr="001A473B" w:rsidRDefault="007E1A15" w:rsidP="007E1A15">
      <w:pPr>
        <w:pStyle w:val="02Aufzhlung"/>
        <w:numPr>
          <w:ilvl w:val="0"/>
          <w:numId w:val="0"/>
        </w:numPr>
        <w:tabs>
          <w:tab w:val="clear" w:pos="340"/>
          <w:tab w:val="left" w:pos="227"/>
        </w:tabs>
        <w:spacing w:line="360" w:lineRule="auto"/>
        <w:rPr>
          <w:rFonts w:ascii="Arial" w:hAnsi="Arial" w:cs="Arial"/>
          <w:b/>
          <w:color w:val="000000" w:themeColor="text1"/>
        </w:rPr>
      </w:pPr>
      <w:r>
        <w:rPr>
          <w:rFonts w:ascii="Arial" w:hAnsi="Arial" w:cs="Arial"/>
          <w:b/>
          <w:bCs/>
          <w:color w:val="000000" w:themeColor="text1"/>
          <w:spacing w:val="2"/>
          <w:sz w:val="35"/>
          <w:szCs w:val="35"/>
        </w:rPr>
        <w:t>Produktiver durch hybride Komplettbearbeitung</w:t>
      </w:r>
    </w:p>
    <w:p w14:paraId="2C7591A5" w14:textId="77777777" w:rsidR="007E1A15" w:rsidRDefault="007E1A15" w:rsidP="007E1A15">
      <w:pPr>
        <w:spacing w:before="240" w:after="120" w:line="276" w:lineRule="auto"/>
        <w:jc w:val="both"/>
        <w:rPr>
          <w:rFonts w:ascii="Arial" w:eastAsia="Calibri" w:hAnsi="Arial" w:cs="Arial"/>
          <w:color w:val="000000" w:themeColor="text1"/>
          <w:lang w:val="de-DE"/>
        </w:rPr>
      </w:pPr>
      <w:r w:rsidRPr="4D553D2A">
        <w:rPr>
          <w:rFonts w:ascii="Arial" w:eastAsia="Calibri" w:hAnsi="Arial" w:cs="Arial"/>
          <w:b/>
          <w:bCs/>
          <w:color w:val="000000" w:themeColor="text1"/>
          <w:lang w:val="de-DE"/>
        </w:rPr>
        <w:t xml:space="preserve">München. </w:t>
      </w:r>
      <w:r>
        <w:rPr>
          <w:rFonts w:ascii="Arial" w:eastAsia="Calibri" w:hAnsi="Arial" w:cs="Arial"/>
          <w:color w:val="000000" w:themeColor="text1"/>
          <w:lang w:val="de-DE"/>
        </w:rPr>
        <w:t xml:space="preserve">Mit der Kombination aus Laserauftragsschweißen und 5-Achs-Simultanfräsen in einer Aufspannung hat sich die LASERTEC 65 DED hybrid als vielseitige Lösung in der additiven Fertigung etabliert. Sie realisiert hochkomplexe Geometrien, repariert Verschleißteile wirtschaftlich und beschichtet Werkstücke mit </w:t>
      </w:r>
      <w:proofErr w:type="gramStart"/>
      <w:r>
        <w:rPr>
          <w:rFonts w:ascii="Arial" w:eastAsia="Calibri" w:hAnsi="Arial" w:cs="Arial"/>
          <w:color w:val="000000" w:themeColor="text1"/>
          <w:lang w:val="de-DE"/>
        </w:rPr>
        <w:t>extrem harten</w:t>
      </w:r>
      <w:proofErr w:type="gramEnd"/>
      <w:r>
        <w:rPr>
          <w:rFonts w:ascii="Arial" w:eastAsia="Calibri" w:hAnsi="Arial" w:cs="Arial"/>
          <w:color w:val="000000" w:themeColor="text1"/>
          <w:lang w:val="de-DE"/>
        </w:rPr>
        <w:t xml:space="preserve"> Materialien. Die neue LASERTEC 65 DED hybrid 2. Generation überträgt das bewährte Konzept in die Zukunft der Fertigung. Konsequent entlang der </w:t>
      </w:r>
      <w:proofErr w:type="spellStart"/>
      <w:r>
        <w:rPr>
          <w:rFonts w:ascii="Arial" w:eastAsia="Calibri" w:hAnsi="Arial" w:cs="Arial"/>
          <w:color w:val="000000" w:themeColor="text1"/>
          <w:lang w:val="de-DE"/>
        </w:rPr>
        <w:t>Machining</w:t>
      </w:r>
      <w:proofErr w:type="spellEnd"/>
      <w:r>
        <w:rPr>
          <w:rFonts w:ascii="Arial" w:eastAsia="Calibri" w:hAnsi="Arial" w:cs="Arial"/>
          <w:color w:val="000000" w:themeColor="text1"/>
          <w:lang w:val="de-DE"/>
        </w:rPr>
        <w:t xml:space="preserve"> Transformation (MX) entwickelt, setzt sie neue Maßstäbe in der Prozessintegration, der Produktivität und der Prozessstabilität. Damit hebt DMG MORI die additive Fertigung auf ein industrielles Niveau und macht sie serientauglich.</w:t>
      </w:r>
    </w:p>
    <w:p w14:paraId="35612AE7" w14:textId="77777777" w:rsidR="007E1A15" w:rsidRPr="00AA5CC5" w:rsidRDefault="007E1A15" w:rsidP="007E1A15">
      <w:pPr>
        <w:spacing w:before="240" w:after="120" w:line="276" w:lineRule="auto"/>
        <w:jc w:val="both"/>
        <w:rPr>
          <w:rFonts w:ascii="Arial" w:eastAsia="Calibri" w:hAnsi="Arial" w:cs="Arial"/>
          <w:b/>
          <w:color w:val="000000" w:themeColor="text1"/>
          <w:lang w:val="de-DE"/>
        </w:rPr>
      </w:pPr>
      <w:r>
        <w:rPr>
          <w:rFonts w:ascii="Arial" w:eastAsia="Calibri" w:hAnsi="Arial" w:cs="Arial"/>
          <w:b/>
          <w:color w:val="000000" w:themeColor="text1"/>
          <w:lang w:val="de-DE"/>
        </w:rPr>
        <w:t>Sechs Prozesse in einem vergrößerten Arbeitsraum</w:t>
      </w:r>
    </w:p>
    <w:p w14:paraId="6BB7B017" w14:textId="485F4430" w:rsidR="007E1A15" w:rsidRPr="00E95CC3" w:rsidRDefault="007E1A15" w:rsidP="007E1A15">
      <w:pPr>
        <w:spacing w:after="120" w:line="276" w:lineRule="auto"/>
        <w:jc w:val="both"/>
        <w:rPr>
          <w:rFonts w:ascii="Arial" w:eastAsia="Calibri" w:hAnsi="Arial" w:cs="Arial"/>
          <w:color w:val="000000" w:themeColor="text1"/>
          <w:lang w:val="de-DE"/>
        </w:rPr>
      </w:pPr>
      <w:r w:rsidRPr="407C62EF">
        <w:rPr>
          <w:rFonts w:ascii="Arial" w:eastAsia="Calibri" w:hAnsi="Arial" w:cs="Arial"/>
          <w:color w:val="000000" w:themeColor="text1"/>
          <w:lang w:val="de-DE"/>
        </w:rPr>
        <w:t xml:space="preserve">Der ganzheitliche 6-in-1-Prozess auf der LASERTEC 65 DED hybrid 2. Generation umfasst Fräsen, Drehen und Schleifen auf der einen Seite sowie das Vorheizen, die additive Fertigung mittels Pulverdüse und einen 3D-Scan auf der anderen Seite. </w:t>
      </w:r>
      <w:r w:rsidR="00614064">
        <w:rPr>
          <w:rFonts w:ascii="Arial" w:eastAsia="Calibri" w:hAnsi="Arial" w:cs="Arial"/>
          <w:color w:val="000000" w:themeColor="text1"/>
          <w:lang w:val="de-DE"/>
        </w:rPr>
        <w:t>Indem</w:t>
      </w:r>
      <w:r w:rsidRPr="407C62EF">
        <w:rPr>
          <w:rFonts w:ascii="Arial" w:eastAsia="Calibri" w:hAnsi="Arial" w:cs="Arial"/>
          <w:color w:val="000000" w:themeColor="text1"/>
          <w:lang w:val="de-DE"/>
        </w:rPr>
        <w:t xml:space="preserve"> Bauteile nicht erst gegossen, transportiert und nachbearbeitet werden müssen</w:t>
      </w:r>
      <w:r w:rsidR="00614064">
        <w:rPr>
          <w:rFonts w:ascii="Arial" w:eastAsia="Calibri" w:hAnsi="Arial" w:cs="Arial"/>
          <w:color w:val="000000" w:themeColor="text1"/>
          <w:lang w:val="de-DE"/>
        </w:rPr>
        <w:t>, werden Durchlaufzeiten reduziert</w:t>
      </w:r>
      <w:r w:rsidRPr="407C62EF">
        <w:rPr>
          <w:rFonts w:ascii="Arial" w:eastAsia="Calibri" w:hAnsi="Arial" w:cs="Arial"/>
          <w:color w:val="000000" w:themeColor="text1"/>
          <w:lang w:val="de-DE"/>
        </w:rPr>
        <w:t xml:space="preserve">. Die neue </w:t>
      </w:r>
      <w:proofErr w:type="spellStart"/>
      <w:r w:rsidRPr="407C62EF">
        <w:rPr>
          <w:rFonts w:ascii="Arial" w:eastAsia="Calibri" w:hAnsi="Arial" w:cs="Arial"/>
          <w:color w:val="000000" w:themeColor="text1"/>
          <w:lang w:val="de-DE"/>
        </w:rPr>
        <w:t>MultiJet</w:t>
      </w:r>
      <w:proofErr w:type="spellEnd"/>
      <w:r w:rsidRPr="407C62EF">
        <w:rPr>
          <w:rFonts w:ascii="Arial" w:eastAsia="Calibri" w:hAnsi="Arial" w:cs="Arial"/>
          <w:color w:val="000000" w:themeColor="text1"/>
          <w:lang w:val="de-DE"/>
        </w:rPr>
        <w:t xml:space="preserve">-Düse ermöglicht einen 5-achsigen Materialaufbau mit homogener Pulververteilung, unabhängig von der Richtung des Pulverstroms. Die Aufbaurate konnte </w:t>
      </w:r>
      <w:r w:rsidR="00361C8E">
        <w:rPr>
          <w:rFonts w:ascii="Arial" w:eastAsia="Calibri" w:hAnsi="Arial" w:cs="Arial"/>
          <w:color w:val="000000" w:themeColor="text1"/>
          <w:lang w:val="de-DE"/>
        </w:rPr>
        <w:br/>
      </w:r>
      <w:r w:rsidRPr="407C62EF">
        <w:rPr>
          <w:rFonts w:ascii="Arial" w:eastAsia="Calibri" w:hAnsi="Arial" w:cs="Arial"/>
          <w:color w:val="000000" w:themeColor="text1"/>
          <w:lang w:val="de-DE"/>
        </w:rPr>
        <w:t xml:space="preserve">DMG MORI um 35 Prozent steigern, was die Werkstückkosten um 47 Prozent senkt. Im Vergleich zum Vorgängermodell finden nun bis zu 170 Prozent größere Werkstücke im Arbeitsraum Platz – mit Abmessungen von ø 840 x 350 mm oder ø 680 x 400 mm. Auf das Bauvolumen gerechnet reduzieren sich die Kosten damit um über 70 Prozent. </w:t>
      </w:r>
    </w:p>
    <w:p w14:paraId="00EB49D6" w14:textId="53C5D7BE" w:rsidR="007E1A15" w:rsidRPr="00AA5CC5" w:rsidRDefault="007E1A15" w:rsidP="407C62EF">
      <w:pPr>
        <w:spacing w:before="240" w:after="120" w:line="276" w:lineRule="auto"/>
        <w:jc w:val="both"/>
        <w:rPr>
          <w:rFonts w:ascii="Arial" w:eastAsia="Calibri" w:hAnsi="Arial" w:cs="Arial"/>
          <w:b/>
          <w:bCs/>
          <w:color w:val="000000" w:themeColor="text1"/>
          <w:lang w:val="de-DE"/>
        </w:rPr>
      </w:pPr>
      <w:r w:rsidRPr="407C62EF">
        <w:rPr>
          <w:rFonts w:ascii="Arial" w:eastAsia="Calibri" w:hAnsi="Arial" w:cs="Arial"/>
          <w:b/>
          <w:bCs/>
          <w:color w:val="000000" w:themeColor="text1"/>
          <w:lang w:val="de-DE"/>
        </w:rPr>
        <w:t>Funktionalere Bauteile durch Multi-Materialien</w:t>
      </w:r>
    </w:p>
    <w:p w14:paraId="5D7C445F" w14:textId="5C397443" w:rsidR="007E1A15" w:rsidRDefault="007E1A15" w:rsidP="007E1A15">
      <w:pPr>
        <w:spacing w:after="120" w:line="276" w:lineRule="auto"/>
        <w:jc w:val="both"/>
        <w:rPr>
          <w:rFonts w:ascii="Arial" w:eastAsia="Calibri" w:hAnsi="Arial" w:cs="Arial"/>
          <w:bCs/>
          <w:color w:val="000000" w:themeColor="text1"/>
          <w:lang w:val="de-DE"/>
        </w:rPr>
      </w:pPr>
      <w:r>
        <w:rPr>
          <w:rFonts w:ascii="Arial" w:eastAsia="Calibri" w:hAnsi="Arial" w:cs="Arial"/>
          <w:bCs/>
          <w:color w:val="000000" w:themeColor="text1"/>
          <w:lang w:val="de-DE"/>
        </w:rPr>
        <w:t>Neben der Infrarot-Lasertechnologie ist für die LASERTEC 65 DED hybrid 2. Generation auch ein blauer Laser erhältlich. Dieser</w:t>
      </w:r>
      <w:r w:rsidRPr="00ED44F3">
        <w:rPr>
          <w:rFonts w:ascii="Arial" w:eastAsia="Calibri" w:hAnsi="Arial" w:cs="Arial"/>
          <w:bCs/>
          <w:color w:val="000000" w:themeColor="text1"/>
          <w:lang w:val="de-DE"/>
        </w:rPr>
        <w:t xml:space="preserve"> erweitert das Materialspektrum auf stark reflektierende Metalle wie Kupfer und erlaubt gradierte Materialübergänge für hochfunktionale Bauteile</w:t>
      </w:r>
      <w:r>
        <w:rPr>
          <w:rFonts w:ascii="Arial" w:eastAsia="Calibri" w:hAnsi="Arial" w:cs="Arial"/>
          <w:bCs/>
          <w:color w:val="000000" w:themeColor="text1"/>
          <w:lang w:val="de-DE"/>
        </w:rPr>
        <w:t xml:space="preserve">. So lässt sich beispielsweise die Kühlleistung durch Kupfer im </w:t>
      </w:r>
      <w:proofErr w:type="spellStart"/>
      <w:r>
        <w:rPr>
          <w:rFonts w:ascii="Arial" w:eastAsia="Calibri" w:hAnsi="Arial" w:cs="Arial"/>
          <w:bCs/>
          <w:color w:val="000000" w:themeColor="text1"/>
          <w:lang w:val="de-DE"/>
        </w:rPr>
        <w:t>Formkern</w:t>
      </w:r>
      <w:proofErr w:type="spellEnd"/>
      <w:r>
        <w:rPr>
          <w:rFonts w:ascii="Arial" w:eastAsia="Calibri" w:hAnsi="Arial" w:cs="Arial"/>
          <w:bCs/>
          <w:color w:val="000000" w:themeColor="text1"/>
          <w:lang w:val="de-DE"/>
        </w:rPr>
        <w:t xml:space="preserve"> verbessern. Auch Materialgradienten zwischen hart und weich oder magnetisch und nichtmagnetisch sind für individuelle Eigenschaften realisierbar. Ein selektiver Auftrag von Werkstoffen mit über 60 HRC vermeidet eine zusätzliche Wärmebehandlung, verleiht Bauteilen eine höhere Lebensdauer </w:t>
      </w:r>
      <w:r w:rsidR="006B1EC2">
        <w:rPr>
          <w:rFonts w:ascii="Arial" w:eastAsia="Calibri" w:hAnsi="Arial" w:cs="Arial"/>
          <w:bCs/>
          <w:color w:val="000000" w:themeColor="text1"/>
          <w:lang w:val="de-DE"/>
        </w:rPr>
        <w:t xml:space="preserve">und </w:t>
      </w:r>
      <w:r>
        <w:rPr>
          <w:rFonts w:ascii="Arial" w:eastAsia="Calibri" w:hAnsi="Arial" w:cs="Arial"/>
          <w:bCs/>
          <w:color w:val="000000" w:themeColor="text1"/>
          <w:lang w:val="de-DE"/>
        </w:rPr>
        <w:t>erhöht</w:t>
      </w:r>
      <w:r w:rsidR="006B1EC2">
        <w:rPr>
          <w:rFonts w:ascii="Arial" w:eastAsia="Calibri" w:hAnsi="Arial" w:cs="Arial"/>
          <w:bCs/>
          <w:color w:val="000000" w:themeColor="text1"/>
          <w:lang w:val="de-DE"/>
        </w:rPr>
        <w:t xml:space="preserve"> beispielsweise</w:t>
      </w:r>
      <w:r>
        <w:rPr>
          <w:rFonts w:ascii="Arial" w:eastAsia="Calibri" w:hAnsi="Arial" w:cs="Arial"/>
          <w:bCs/>
          <w:color w:val="000000" w:themeColor="text1"/>
          <w:lang w:val="de-DE"/>
        </w:rPr>
        <w:t xml:space="preserve"> die Leistung von bestehenden Werkzeugen.</w:t>
      </w:r>
    </w:p>
    <w:p w14:paraId="0357E21C" w14:textId="77777777" w:rsidR="007E1A15" w:rsidRPr="00AA5CC5" w:rsidRDefault="007E1A15" w:rsidP="007E1A15">
      <w:pPr>
        <w:spacing w:before="240" w:after="120" w:line="276" w:lineRule="auto"/>
        <w:jc w:val="both"/>
        <w:rPr>
          <w:rFonts w:ascii="Arial" w:eastAsia="Calibri" w:hAnsi="Arial" w:cs="Arial"/>
          <w:b/>
          <w:color w:val="000000" w:themeColor="text1"/>
          <w:lang w:val="de-DE"/>
        </w:rPr>
      </w:pPr>
      <w:r>
        <w:rPr>
          <w:rFonts w:ascii="Arial" w:eastAsia="Calibri" w:hAnsi="Arial" w:cs="Arial"/>
          <w:b/>
          <w:color w:val="000000" w:themeColor="text1"/>
          <w:lang w:val="de-DE"/>
        </w:rPr>
        <w:t>Höchste Prozessstabilität und umfassende Rückverfolgbarkeit</w:t>
      </w:r>
    </w:p>
    <w:p w14:paraId="1035CB18" w14:textId="5BB21FB8" w:rsidR="007E1A15" w:rsidRDefault="007E1A15" w:rsidP="007E1A15">
      <w:pPr>
        <w:spacing w:after="120" w:line="276" w:lineRule="auto"/>
        <w:jc w:val="both"/>
        <w:rPr>
          <w:rFonts w:ascii="Arial" w:eastAsia="Calibri" w:hAnsi="Arial" w:cs="Arial"/>
          <w:color w:val="000000" w:themeColor="text1"/>
          <w:lang w:val="de-DE"/>
        </w:rPr>
      </w:pPr>
      <w:r w:rsidRPr="579A1B66">
        <w:rPr>
          <w:rFonts w:ascii="Arial" w:eastAsia="Calibri" w:hAnsi="Arial" w:cs="Arial"/>
          <w:color w:val="000000" w:themeColor="text1"/>
          <w:lang w:val="de-DE"/>
        </w:rPr>
        <w:t xml:space="preserve">Die AM Assistant Pakete ermöglichen mit Kameras und Sensoren eine umfangreiche Prozessüberwachung. So lassen sich unter anderem mit Hilfe einer Wärmebildkamera die Temperatur des Umgebungsbereichs und das Laservorheizen steuern. Der Pulvermassefluss </w:t>
      </w:r>
      <w:r w:rsidR="009769DF">
        <w:rPr>
          <w:rFonts w:ascii="Arial" w:eastAsia="Calibri" w:hAnsi="Arial" w:cs="Arial"/>
          <w:color w:val="000000" w:themeColor="text1"/>
          <w:lang w:val="de-DE"/>
        </w:rPr>
        <w:br/>
      </w:r>
      <w:r w:rsidRPr="579A1B66">
        <w:rPr>
          <w:rFonts w:ascii="Arial" w:eastAsia="Calibri" w:hAnsi="Arial" w:cs="Arial"/>
          <w:color w:val="000000" w:themeColor="text1"/>
          <w:lang w:val="de-DE"/>
        </w:rPr>
        <w:t xml:space="preserve">wird automatisch kalibriert und von einem optischen Sensor überwacht. Eine weitere Kamera überwacht die thermische Energie des Schmelzpools und trägt zur geschlossenen Regelung </w:t>
      </w:r>
      <w:r w:rsidRPr="579A1B66">
        <w:rPr>
          <w:rFonts w:ascii="Arial" w:eastAsia="Calibri" w:hAnsi="Arial" w:cs="Arial"/>
          <w:color w:val="000000" w:themeColor="text1"/>
          <w:lang w:val="de-DE"/>
        </w:rPr>
        <w:lastRenderedPageBreak/>
        <w:t xml:space="preserve">der Laserleistung bei. Außerdem prüft eine seitliche Kamera permanent den Arbeitsabstand. Alle relevanten Prozessdaten visualisiert der AM </w:t>
      </w:r>
      <w:proofErr w:type="spellStart"/>
      <w:r w:rsidRPr="579A1B66">
        <w:rPr>
          <w:rFonts w:ascii="Arial" w:eastAsia="Calibri" w:hAnsi="Arial" w:cs="Arial"/>
          <w:color w:val="000000" w:themeColor="text1"/>
          <w:lang w:val="de-DE"/>
        </w:rPr>
        <w:t>Evaluator</w:t>
      </w:r>
      <w:proofErr w:type="spellEnd"/>
      <w:r w:rsidRPr="579A1B66">
        <w:rPr>
          <w:rFonts w:ascii="Arial" w:eastAsia="Calibri" w:hAnsi="Arial" w:cs="Arial"/>
          <w:color w:val="000000" w:themeColor="text1"/>
          <w:lang w:val="de-DE"/>
        </w:rPr>
        <w:t xml:space="preserve"> als digitales 3D-Modell und in chronologischer Reihenfolge.</w:t>
      </w:r>
    </w:p>
    <w:p w14:paraId="7ABD18E7" w14:textId="77777777" w:rsidR="007E1A15" w:rsidRPr="00AA5CC5" w:rsidRDefault="007E1A15" w:rsidP="007E1A15">
      <w:pPr>
        <w:spacing w:before="240" w:after="120" w:line="276" w:lineRule="auto"/>
        <w:jc w:val="both"/>
        <w:rPr>
          <w:rFonts w:ascii="Arial" w:eastAsia="Calibri" w:hAnsi="Arial" w:cs="Arial"/>
          <w:b/>
          <w:color w:val="000000" w:themeColor="text1"/>
          <w:lang w:val="de-DE"/>
        </w:rPr>
      </w:pPr>
      <w:r>
        <w:rPr>
          <w:rFonts w:ascii="Arial" w:eastAsia="Calibri" w:hAnsi="Arial" w:cs="Arial"/>
          <w:b/>
          <w:color w:val="000000" w:themeColor="text1"/>
          <w:lang w:val="de-DE"/>
        </w:rPr>
        <w:t>Neues Pulvermanagement für maximale Effizienz und Leistung</w:t>
      </w:r>
    </w:p>
    <w:p w14:paraId="4371572B" w14:textId="1F31F5B6" w:rsidR="007E1A15" w:rsidRDefault="007E1A15" w:rsidP="007E1A15">
      <w:pPr>
        <w:spacing w:after="120" w:line="276" w:lineRule="auto"/>
        <w:jc w:val="both"/>
        <w:rPr>
          <w:rFonts w:ascii="Arial" w:eastAsia="Calibri" w:hAnsi="Arial" w:cs="Arial"/>
          <w:color w:val="000000" w:themeColor="text1"/>
          <w:lang w:val="de-DE"/>
        </w:rPr>
      </w:pPr>
      <w:r w:rsidRPr="665DFE96">
        <w:rPr>
          <w:rFonts w:ascii="Arial" w:eastAsia="Calibri" w:hAnsi="Arial" w:cs="Arial"/>
          <w:color w:val="000000" w:themeColor="text1"/>
          <w:lang w:val="de-DE"/>
        </w:rPr>
        <w:t xml:space="preserve">Das Pulver wird über Pulvertöpfe in drei Größen (S: 0,5 l, M: 2,3 l, L: 5 l) bereitgestellt. </w:t>
      </w:r>
      <w:r>
        <w:rPr>
          <w:rFonts w:ascii="Arial" w:eastAsia="Calibri" w:hAnsi="Arial" w:cs="Arial"/>
          <w:color w:val="000000" w:themeColor="text1"/>
          <w:lang w:val="de-DE"/>
        </w:rPr>
        <w:br/>
      </w:r>
      <w:r w:rsidRPr="665DFE96">
        <w:rPr>
          <w:rFonts w:ascii="Arial" w:eastAsia="Calibri" w:hAnsi="Arial" w:cs="Arial"/>
          <w:color w:val="000000" w:themeColor="text1"/>
          <w:lang w:val="de-DE"/>
        </w:rPr>
        <w:t xml:space="preserve">DMG MORI legt hier Wert auf eine sichere und effiziente Handhabung sowie leichte Reinigung. So erfolgt die Lagerung in Argon-Druckpulverbehältern, während </w:t>
      </w:r>
      <w:r w:rsidRPr="006B5470">
        <w:rPr>
          <w:rFonts w:ascii="Arial" w:eastAsia="Calibri" w:hAnsi="Arial" w:cs="Arial"/>
          <w:color w:val="000000" w:themeColor="text1"/>
          <w:lang w:val="de-DE"/>
        </w:rPr>
        <w:t>bei geöffneter Zugangstür zum Pulverförderer feinste Partikel im DED</w:t>
      </w:r>
      <w:r w:rsidR="006A28CB">
        <w:rPr>
          <w:rFonts w:ascii="Arial" w:eastAsia="Calibri" w:hAnsi="Arial" w:cs="Arial"/>
          <w:color w:val="000000" w:themeColor="text1"/>
          <w:lang w:val="de-DE"/>
        </w:rPr>
        <w:t>-</w:t>
      </w:r>
      <w:r w:rsidRPr="006B5470">
        <w:rPr>
          <w:rFonts w:ascii="Arial" w:eastAsia="Calibri" w:hAnsi="Arial" w:cs="Arial"/>
          <w:color w:val="000000" w:themeColor="text1"/>
          <w:lang w:val="de-DE"/>
        </w:rPr>
        <w:t xml:space="preserve">Modul </w:t>
      </w:r>
      <w:r w:rsidRPr="665DFE96">
        <w:rPr>
          <w:rFonts w:ascii="Arial" w:eastAsia="Calibri" w:hAnsi="Arial" w:cs="Arial"/>
          <w:color w:val="000000" w:themeColor="text1"/>
          <w:lang w:val="de-DE"/>
        </w:rPr>
        <w:t xml:space="preserve">automatisch abgesaugt </w:t>
      </w:r>
      <w:r>
        <w:rPr>
          <w:rFonts w:ascii="Arial" w:eastAsia="Calibri" w:hAnsi="Arial" w:cs="Arial"/>
          <w:color w:val="000000" w:themeColor="text1"/>
          <w:lang w:val="de-DE"/>
        </w:rPr>
        <w:t>werden</w:t>
      </w:r>
      <w:r w:rsidRPr="665DFE96">
        <w:rPr>
          <w:rFonts w:ascii="Arial" w:eastAsia="Calibri" w:hAnsi="Arial" w:cs="Arial"/>
          <w:color w:val="000000" w:themeColor="text1"/>
          <w:lang w:val="de-DE"/>
        </w:rPr>
        <w:t xml:space="preserve">. Optional lassen sich eine </w:t>
      </w:r>
      <w:proofErr w:type="spellStart"/>
      <w:r w:rsidRPr="665DFE96">
        <w:rPr>
          <w:rFonts w:ascii="Arial" w:eastAsia="Calibri" w:hAnsi="Arial" w:cs="Arial"/>
          <w:color w:val="000000" w:themeColor="text1"/>
          <w:lang w:val="de-DE"/>
        </w:rPr>
        <w:t>Druckleckkontrolle</w:t>
      </w:r>
      <w:proofErr w:type="spellEnd"/>
      <w:r w:rsidRPr="665DFE96">
        <w:rPr>
          <w:rFonts w:ascii="Arial" w:eastAsia="Calibri" w:hAnsi="Arial" w:cs="Arial"/>
          <w:color w:val="000000" w:themeColor="text1"/>
          <w:lang w:val="de-DE"/>
        </w:rPr>
        <w:t xml:space="preserve"> und ein Pegelsensor integrieren.</w:t>
      </w:r>
    </w:p>
    <w:p w14:paraId="6E29F332" w14:textId="77777777" w:rsidR="007E1A15" w:rsidRPr="00AA5CC5" w:rsidRDefault="007E1A15" w:rsidP="007E1A15">
      <w:pPr>
        <w:spacing w:before="240" w:after="120" w:line="276" w:lineRule="auto"/>
        <w:jc w:val="both"/>
        <w:rPr>
          <w:rFonts w:ascii="Arial" w:eastAsia="Calibri" w:hAnsi="Arial" w:cs="Arial"/>
          <w:b/>
          <w:color w:val="000000" w:themeColor="text1"/>
          <w:lang w:val="de-DE"/>
        </w:rPr>
      </w:pPr>
      <w:r>
        <w:rPr>
          <w:rFonts w:ascii="Arial" w:eastAsia="Calibri" w:hAnsi="Arial" w:cs="Arial"/>
          <w:b/>
          <w:color w:val="000000" w:themeColor="text1"/>
          <w:lang w:val="de-DE"/>
        </w:rPr>
        <w:t xml:space="preserve">Präzision und Stabilität dank </w:t>
      </w:r>
      <w:proofErr w:type="spellStart"/>
      <w:r>
        <w:rPr>
          <w:rFonts w:ascii="Arial" w:eastAsia="Calibri" w:hAnsi="Arial" w:cs="Arial"/>
          <w:b/>
          <w:color w:val="000000" w:themeColor="text1"/>
          <w:lang w:val="de-DE"/>
        </w:rPr>
        <w:t>monoBLOCK</w:t>
      </w:r>
      <w:proofErr w:type="spellEnd"/>
      <w:r>
        <w:rPr>
          <w:rFonts w:ascii="Arial" w:eastAsia="Calibri" w:hAnsi="Arial" w:cs="Arial"/>
          <w:b/>
          <w:color w:val="000000" w:themeColor="text1"/>
          <w:lang w:val="de-DE"/>
        </w:rPr>
        <w:t>-Bauweise</w:t>
      </w:r>
    </w:p>
    <w:p w14:paraId="5A63B88D" w14:textId="77777777" w:rsidR="007E1A15" w:rsidRDefault="007E1A15" w:rsidP="007E1A15">
      <w:pPr>
        <w:spacing w:after="120" w:line="276" w:lineRule="auto"/>
        <w:jc w:val="both"/>
        <w:rPr>
          <w:rFonts w:ascii="Arial" w:eastAsia="Calibri" w:hAnsi="Arial" w:cs="Arial"/>
          <w:color w:val="000000" w:themeColor="text1"/>
          <w:lang w:val="de-DE"/>
        </w:rPr>
      </w:pPr>
      <w:r>
        <w:rPr>
          <w:rFonts w:ascii="Arial" w:eastAsia="Calibri" w:hAnsi="Arial" w:cs="Arial"/>
          <w:color w:val="000000" w:themeColor="text1"/>
          <w:lang w:val="de-DE"/>
        </w:rPr>
        <w:t xml:space="preserve">Da die LASERTEC 65 DED hybrid 2. Generation auf der bewährten und steifen </w:t>
      </w:r>
      <w:proofErr w:type="spellStart"/>
      <w:r>
        <w:rPr>
          <w:rFonts w:ascii="Arial" w:eastAsia="Calibri" w:hAnsi="Arial" w:cs="Arial"/>
          <w:color w:val="000000" w:themeColor="text1"/>
          <w:lang w:val="de-DE"/>
        </w:rPr>
        <w:t>monoBLOCK</w:t>
      </w:r>
      <w:proofErr w:type="spellEnd"/>
      <w:r>
        <w:rPr>
          <w:rFonts w:ascii="Arial" w:eastAsia="Calibri" w:hAnsi="Arial" w:cs="Arial"/>
          <w:color w:val="000000" w:themeColor="text1"/>
          <w:lang w:val="de-DE"/>
        </w:rPr>
        <w:t xml:space="preserve">-Konstruktion basiert, arbeitet sie mit absoluter Präzision. Die Positioniergenauigkeit beträgt 4 µm und die volumetrische Genauigkeit ist durch VCS </w:t>
      </w:r>
      <w:proofErr w:type="spellStart"/>
      <w:r>
        <w:rPr>
          <w:rFonts w:ascii="Arial" w:eastAsia="Calibri" w:hAnsi="Arial" w:cs="Arial"/>
          <w:color w:val="000000" w:themeColor="text1"/>
          <w:lang w:val="de-DE"/>
        </w:rPr>
        <w:t>Complete</w:t>
      </w:r>
      <w:proofErr w:type="spellEnd"/>
      <w:r>
        <w:rPr>
          <w:rFonts w:ascii="Arial" w:eastAsia="Calibri" w:hAnsi="Arial" w:cs="Arial"/>
          <w:color w:val="000000" w:themeColor="text1"/>
          <w:lang w:val="de-DE"/>
        </w:rPr>
        <w:t xml:space="preserve"> um 30 Prozent höher. Breite Türen bieten einen ergonomischen Zugang zum Arbeitsraum – auch per Kranbeladung – und eine gute Vorbereitung für Automationslösungen. Zudem erleichtern die Steuerungsplattform CELOS X auf einer Siemens SINUMERIK ONE sowie exklusive DMG MORI Technologiezyklen die Bedienung der Maschine schon in der Programmierung.</w:t>
      </w:r>
    </w:p>
    <w:p w14:paraId="3EABEEEF" w14:textId="77777777" w:rsidR="007E1A15" w:rsidRDefault="007E1A15" w:rsidP="007E1A15">
      <w:pPr>
        <w:spacing w:after="120" w:line="276" w:lineRule="auto"/>
        <w:jc w:val="both"/>
        <w:rPr>
          <w:rFonts w:ascii="Arial" w:eastAsia="Calibri" w:hAnsi="Arial" w:cs="Arial"/>
          <w:color w:val="000000" w:themeColor="text1"/>
          <w:lang w:val="de-DE"/>
        </w:rPr>
      </w:pPr>
    </w:p>
    <w:p w14:paraId="64FA2E60" w14:textId="55E14FD3" w:rsidR="005F17E1" w:rsidRDefault="005F17E1">
      <w:pPr>
        <w:rPr>
          <w:rFonts w:ascii="Arial" w:eastAsia="MS Mincho" w:hAnsi="Arial" w:cs="Arial"/>
          <w:b/>
          <w:color w:val="000000" w:themeColor="text1"/>
          <w:sz w:val="16"/>
          <w:szCs w:val="18"/>
          <w:lang w:val="de-DE"/>
        </w:rPr>
      </w:pPr>
      <w:r>
        <w:rPr>
          <w:rFonts w:ascii="Arial" w:eastAsia="MS Mincho" w:hAnsi="Arial" w:cs="Arial"/>
          <w:b/>
          <w:color w:val="000000" w:themeColor="text1"/>
          <w:sz w:val="16"/>
          <w:szCs w:val="18"/>
          <w:lang w:val="de-DE"/>
        </w:rPr>
        <w:br w:type="page"/>
      </w:r>
    </w:p>
    <w:p w14:paraId="3FC02F50" w14:textId="77777777" w:rsidR="007E1A15" w:rsidRDefault="007E1A15" w:rsidP="007E1A15">
      <w:pPr>
        <w:autoSpaceDE w:val="0"/>
        <w:autoSpaceDN w:val="0"/>
        <w:adjustRightInd w:val="0"/>
        <w:spacing w:after="40" w:line="269" w:lineRule="auto"/>
        <w:ind w:right="-7"/>
        <w:jc w:val="both"/>
        <w:rPr>
          <w:rFonts w:ascii="Arial" w:eastAsia="MS Mincho" w:hAnsi="Arial" w:cs="Arial"/>
          <w:b/>
          <w:color w:val="000000" w:themeColor="text1"/>
          <w:sz w:val="16"/>
          <w:szCs w:val="18"/>
          <w:lang w:val="de-DE"/>
        </w:rPr>
      </w:pPr>
    </w:p>
    <w:p w14:paraId="6CD1F3C3" w14:textId="77777777" w:rsidR="007E1A15" w:rsidRPr="009F09F1" w:rsidRDefault="007E1A15" w:rsidP="007E1A15">
      <w:pPr>
        <w:autoSpaceDE w:val="0"/>
        <w:autoSpaceDN w:val="0"/>
        <w:adjustRightInd w:val="0"/>
        <w:spacing w:after="40" w:line="269" w:lineRule="auto"/>
        <w:ind w:right="-7"/>
        <w:jc w:val="both"/>
        <w:rPr>
          <w:rFonts w:ascii="Arial" w:eastAsia="MS Mincho" w:hAnsi="Arial" w:cs="Arial"/>
          <w:b/>
          <w:color w:val="000000" w:themeColor="text1"/>
          <w:sz w:val="16"/>
          <w:szCs w:val="18"/>
          <w:lang w:val="de-DE"/>
        </w:rPr>
      </w:pPr>
      <w:r w:rsidRPr="009F09F1">
        <w:rPr>
          <w:rFonts w:ascii="Arial" w:eastAsia="MS Mincho" w:hAnsi="Arial" w:cs="Arial"/>
          <w:b/>
          <w:noProof/>
          <w:color w:val="000000" w:themeColor="text1"/>
          <w:sz w:val="16"/>
          <w:szCs w:val="18"/>
          <w:lang w:val="de-DE"/>
        </w:rPr>
        <w:drawing>
          <wp:inline distT="0" distB="0" distL="0" distR="0" wp14:anchorId="2EF774DB" wp14:editId="664AC20F">
            <wp:extent cx="4839732" cy="3378530"/>
            <wp:effectExtent l="0" t="0" r="0" b="0"/>
            <wp:docPr id="844851293" name="Grafik 1" descr="Ein Bild, das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4851293" name="Grafik 1" descr="Ein Bild, das Design enthält.&#10;&#10;KI-generierte Inhalte können fehlerhaft sein."/>
                    <pic:cNvPicPr/>
                  </pic:nvPicPr>
                  <pic:blipFill>
                    <a:blip r:embed="rId11"/>
                    <a:stretch>
                      <a:fillRect/>
                    </a:stretch>
                  </pic:blipFill>
                  <pic:spPr>
                    <a:xfrm>
                      <a:off x="0" y="0"/>
                      <a:ext cx="4851574" cy="3386797"/>
                    </a:xfrm>
                    <a:prstGeom prst="rect">
                      <a:avLst/>
                    </a:prstGeom>
                  </pic:spPr>
                </pic:pic>
              </a:graphicData>
            </a:graphic>
          </wp:inline>
        </w:drawing>
      </w:r>
    </w:p>
    <w:p w14:paraId="4D816657" w14:textId="77777777" w:rsidR="007E1A15" w:rsidRPr="001906A8" w:rsidRDefault="007E1A15" w:rsidP="007E1A15">
      <w:pPr>
        <w:autoSpaceDE w:val="0"/>
        <w:autoSpaceDN w:val="0"/>
        <w:adjustRightInd w:val="0"/>
        <w:spacing w:after="40" w:line="269" w:lineRule="auto"/>
        <w:ind w:right="1835"/>
        <w:rPr>
          <w:rFonts w:ascii="Arial" w:eastAsia="MS Mincho" w:hAnsi="Arial" w:cs="Arial"/>
          <w:b/>
          <w:color w:val="000000" w:themeColor="text1"/>
          <w:sz w:val="16"/>
          <w:szCs w:val="18"/>
          <w:lang w:val="de-DE"/>
        </w:rPr>
      </w:pPr>
      <w:r w:rsidRPr="006C3A2A">
        <w:rPr>
          <w:rFonts w:ascii="Arial" w:eastAsia="MS Mincho" w:hAnsi="Arial" w:cs="Arial"/>
          <w:color w:val="000000" w:themeColor="text1"/>
          <w:sz w:val="16"/>
          <w:szCs w:val="18"/>
          <w:lang w:val="de-DE"/>
        </w:rPr>
        <w:t xml:space="preserve">Die LASERTEC 65 DED hybrid 2. Generation setzt </w:t>
      </w:r>
      <w:r>
        <w:rPr>
          <w:rFonts w:ascii="Arial" w:eastAsia="MS Mincho" w:hAnsi="Arial" w:cs="Arial"/>
          <w:color w:val="000000" w:themeColor="text1"/>
          <w:sz w:val="16"/>
          <w:szCs w:val="18"/>
          <w:lang w:val="de-DE"/>
        </w:rPr>
        <w:t>neue</w:t>
      </w:r>
      <w:r w:rsidRPr="006C3A2A">
        <w:rPr>
          <w:rFonts w:ascii="Arial" w:eastAsia="MS Mincho" w:hAnsi="Arial" w:cs="Arial"/>
          <w:color w:val="000000" w:themeColor="text1"/>
          <w:sz w:val="16"/>
          <w:szCs w:val="18"/>
          <w:lang w:val="de-DE"/>
        </w:rPr>
        <w:t xml:space="preserve"> Maßstäbe in der Prozessintegration, der Produktivität und der Prozessstabilität.</w:t>
      </w:r>
    </w:p>
    <w:p w14:paraId="78400406" w14:textId="77777777" w:rsidR="007E1A15" w:rsidRDefault="007E1A15" w:rsidP="007E1A15">
      <w:pPr>
        <w:autoSpaceDE w:val="0"/>
        <w:autoSpaceDN w:val="0"/>
        <w:adjustRightInd w:val="0"/>
        <w:spacing w:after="40" w:line="269" w:lineRule="auto"/>
        <w:ind w:right="-7"/>
        <w:jc w:val="both"/>
        <w:rPr>
          <w:rFonts w:ascii="Arial" w:eastAsia="MS Mincho" w:hAnsi="Arial" w:cs="Arial"/>
          <w:b/>
          <w:color w:val="000000" w:themeColor="text1"/>
          <w:sz w:val="16"/>
          <w:szCs w:val="18"/>
          <w:lang w:val="de-DE"/>
        </w:rPr>
      </w:pPr>
    </w:p>
    <w:p w14:paraId="4AE75403" w14:textId="77777777" w:rsidR="007E1A15" w:rsidRDefault="007E1A15" w:rsidP="007E1A15">
      <w:pPr>
        <w:autoSpaceDE w:val="0"/>
        <w:autoSpaceDN w:val="0"/>
        <w:adjustRightInd w:val="0"/>
        <w:spacing w:after="40" w:line="269" w:lineRule="auto"/>
        <w:ind w:right="-7"/>
        <w:jc w:val="both"/>
        <w:rPr>
          <w:rFonts w:ascii="Arial" w:eastAsia="MS Mincho" w:hAnsi="Arial" w:cs="Arial"/>
          <w:b/>
          <w:color w:val="000000" w:themeColor="text1"/>
          <w:sz w:val="16"/>
          <w:szCs w:val="18"/>
          <w:lang w:val="de-DE"/>
        </w:rPr>
      </w:pPr>
      <w:r w:rsidRPr="00525D39">
        <w:rPr>
          <w:rFonts w:ascii="Arial" w:eastAsia="MS Mincho" w:hAnsi="Arial" w:cs="Arial"/>
          <w:b/>
          <w:noProof/>
          <w:color w:val="000000" w:themeColor="text1"/>
          <w:sz w:val="16"/>
          <w:szCs w:val="18"/>
          <w:lang w:val="de-DE"/>
        </w:rPr>
        <w:drawing>
          <wp:inline distT="0" distB="0" distL="0" distR="0" wp14:anchorId="5D03A4BF" wp14:editId="6FD4116B">
            <wp:extent cx="4767943" cy="3338927"/>
            <wp:effectExtent l="0" t="0" r="0" b="0"/>
            <wp:docPr id="74580346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803460" name=""/>
                    <pic:cNvPicPr/>
                  </pic:nvPicPr>
                  <pic:blipFill>
                    <a:blip r:embed="rId12"/>
                    <a:stretch>
                      <a:fillRect/>
                    </a:stretch>
                  </pic:blipFill>
                  <pic:spPr>
                    <a:xfrm>
                      <a:off x="0" y="0"/>
                      <a:ext cx="4782658" cy="3349232"/>
                    </a:xfrm>
                    <a:prstGeom prst="rect">
                      <a:avLst/>
                    </a:prstGeom>
                  </pic:spPr>
                </pic:pic>
              </a:graphicData>
            </a:graphic>
          </wp:inline>
        </w:drawing>
      </w:r>
    </w:p>
    <w:p w14:paraId="278EDE6B" w14:textId="77777777" w:rsidR="007E1A15" w:rsidRPr="001906A8" w:rsidRDefault="007E1A15" w:rsidP="007E1A15">
      <w:pPr>
        <w:autoSpaceDE w:val="0"/>
        <w:autoSpaceDN w:val="0"/>
        <w:adjustRightInd w:val="0"/>
        <w:spacing w:after="40" w:line="269" w:lineRule="auto"/>
        <w:ind w:right="-7"/>
        <w:jc w:val="both"/>
        <w:rPr>
          <w:rFonts w:ascii="Arial" w:eastAsia="MS Mincho" w:hAnsi="Arial" w:cs="Arial"/>
          <w:b/>
          <w:color w:val="000000" w:themeColor="text1"/>
          <w:sz w:val="16"/>
          <w:szCs w:val="18"/>
          <w:lang w:val="de-DE"/>
        </w:rPr>
      </w:pPr>
      <w:r w:rsidRPr="006C3A2A">
        <w:rPr>
          <w:rFonts w:ascii="Arial" w:eastAsia="MS Mincho" w:hAnsi="Arial" w:cs="Arial"/>
          <w:bCs/>
          <w:color w:val="000000" w:themeColor="text1"/>
          <w:sz w:val="16"/>
          <w:szCs w:val="18"/>
          <w:lang w:val="de-DE"/>
        </w:rPr>
        <w:t>Formkerne aus Kupfer steigern die Kühlleistung von Werkzeugkomponenten signifikant.</w:t>
      </w:r>
    </w:p>
    <w:p w14:paraId="1C5DC6F5" w14:textId="77777777" w:rsidR="009769DF" w:rsidRDefault="009769DF">
      <w:pPr>
        <w:rPr>
          <w:rFonts w:ascii="Arial" w:eastAsia="MS Mincho" w:hAnsi="Arial" w:cs="Arial"/>
          <w:b/>
          <w:color w:val="000000" w:themeColor="text1"/>
          <w:sz w:val="16"/>
          <w:szCs w:val="18"/>
          <w:lang w:val="de-DE"/>
        </w:rPr>
      </w:pPr>
      <w:r>
        <w:rPr>
          <w:rFonts w:ascii="Arial" w:eastAsia="MS Mincho" w:hAnsi="Arial" w:cs="Arial"/>
          <w:b/>
          <w:color w:val="000000" w:themeColor="text1"/>
          <w:sz w:val="16"/>
          <w:szCs w:val="18"/>
          <w:lang w:val="de-DE"/>
        </w:rPr>
        <w:br w:type="page"/>
      </w:r>
    </w:p>
    <w:p w14:paraId="01EED7E0" w14:textId="3132C786" w:rsidR="001906A8" w:rsidRPr="001906A8" w:rsidRDefault="00CF38E9" w:rsidP="001906A8">
      <w:pPr>
        <w:autoSpaceDE w:val="0"/>
        <w:autoSpaceDN w:val="0"/>
        <w:adjustRightInd w:val="0"/>
        <w:spacing w:after="40" w:line="269" w:lineRule="auto"/>
        <w:ind w:right="1977"/>
        <w:jc w:val="both"/>
        <w:rPr>
          <w:rFonts w:ascii="Arial" w:eastAsia="MS Mincho" w:hAnsi="Arial" w:cs="Arial"/>
          <w:b/>
          <w:sz w:val="16"/>
          <w:szCs w:val="18"/>
          <w:lang w:val="de-DE"/>
        </w:rPr>
      </w:pPr>
      <w:r>
        <w:rPr>
          <w:rFonts w:ascii="Arial" w:eastAsia="MS Mincho" w:hAnsi="Arial" w:cs="Arial"/>
          <w:b/>
          <w:sz w:val="16"/>
          <w:szCs w:val="18"/>
          <w:lang w:val="de-DE"/>
        </w:rPr>
        <w:lastRenderedPageBreak/>
        <w:t>C</w:t>
      </w:r>
      <w:r w:rsidR="001906A8" w:rsidRPr="001906A8">
        <w:rPr>
          <w:rFonts w:ascii="Arial" w:eastAsia="MS Mincho" w:hAnsi="Arial" w:cs="Arial"/>
          <w:b/>
          <w:sz w:val="16"/>
          <w:szCs w:val="18"/>
          <w:lang w:val="de-DE"/>
        </w:rPr>
        <w:t xml:space="preserve">ompany Profile // DMG MORI </w:t>
      </w:r>
    </w:p>
    <w:p w14:paraId="42DC5AE8" w14:textId="724F6217" w:rsidR="001906A8" w:rsidRPr="001906A8" w:rsidRDefault="001906A8" w:rsidP="001906A8">
      <w:pPr>
        <w:spacing w:after="40" w:line="269" w:lineRule="auto"/>
        <w:ind w:right="1977"/>
        <w:jc w:val="both"/>
        <w:rPr>
          <w:rFonts w:ascii="Arial" w:eastAsia="MS Mincho" w:hAnsi="Arial" w:cs="Arial"/>
          <w:bCs/>
          <w:noProof/>
          <w:sz w:val="16"/>
          <w:szCs w:val="18"/>
          <w:lang w:val="de-DE" w:eastAsia="de-DE"/>
        </w:rPr>
      </w:pPr>
      <w:r w:rsidRPr="001906A8">
        <w:rPr>
          <w:rFonts w:ascii="Arial" w:eastAsia="MS Mincho" w:hAnsi="Arial" w:cs="Arial"/>
          <w:bCs/>
          <w:noProof/>
          <w:sz w:val="16"/>
          <w:szCs w:val="18"/>
          <w:lang w:val="de-DE" w:eastAsia="de-DE"/>
        </w:rPr>
        <w:t>DMG MORI ist ein weltweit führender Hersteller von hochpräzisen Werkzeugmaschinen und in 4</w:t>
      </w:r>
      <w:r w:rsidR="00F57280">
        <w:rPr>
          <w:rFonts w:ascii="Arial" w:eastAsia="MS Mincho" w:hAnsi="Arial" w:cs="Arial"/>
          <w:bCs/>
          <w:noProof/>
          <w:sz w:val="16"/>
          <w:szCs w:val="18"/>
          <w:lang w:val="de-DE" w:eastAsia="de-DE"/>
        </w:rPr>
        <w:t>4</w:t>
      </w:r>
      <w:r w:rsidRPr="001906A8">
        <w:rPr>
          <w:rFonts w:ascii="Arial" w:eastAsia="MS Mincho" w:hAnsi="Arial" w:cs="Arial"/>
          <w:bCs/>
          <w:noProof/>
          <w:sz w:val="16"/>
          <w:szCs w:val="18"/>
          <w:lang w:val="de-DE" w:eastAsia="de-DE"/>
        </w:rPr>
        <w:t xml:space="preserve"> Ländern vertreten – mit </w:t>
      </w:r>
      <w:r w:rsidR="00F57280">
        <w:rPr>
          <w:rFonts w:ascii="Arial" w:eastAsia="MS Mincho" w:hAnsi="Arial" w:cs="Arial"/>
          <w:bCs/>
          <w:noProof/>
          <w:sz w:val="16"/>
          <w:szCs w:val="18"/>
          <w:lang w:val="de-DE" w:eastAsia="de-DE"/>
        </w:rPr>
        <w:t>124</w:t>
      </w:r>
      <w:r w:rsidRPr="001906A8">
        <w:rPr>
          <w:rFonts w:ascii="Arial" w:eastAsia="MS Mincho" w:hAnsi="Arial" w:cs="Arial"/>
          <w:bCs/>
          <w:noProof/>
          <w:sz w:val="16"/>
          <w:szCs w:val="18"/>
          <w:lang w:val="de-DE" w:eastAsia="de-DE"/>
        </w:rPr>
        <w:t xml:space="preserve"> Vertriebs- und Servicestandorten, davon 17 Produktionswerke. In der „Global One Company“ treiben mehr als 13.</w:t>
      </w:r>
      <w:r w:rsidR="00F57280">
        <w:rPr>
          <w:rFonts w:ascii="Arial" w:eastAsia="MS Mincho" w:hAnsi="Arial" w:cs="Arial"/>
          <w:bCs/>
          <w:noProof/>
          <w:sz w:val="16"/>
          <w:szCs w:val="18"/>
          <w:lang w:val="de-DE" w:eastAsia="de-DE"/>
        </w:rPr>
        <w:t>5</w:t>
      </w:r>
      <w:r w:rsidRPr="001906A8">
        <w:rPr>
          <w:rFonts w:ascii="Arial" w:eastAsia="MS Mincho" w:hAnsi="Arial" w:cs="Arial"/>
          <w:bCs/>
          <w:noProof/>
          <w:sz w:val="16"/>
          <w:szCs w:val="18"/>
          <w:lang w:val="de-DE" w:eastAsia="de-DE"/>
        </w:rPr>
        <w:t>00 Mitarbeiterinnen und Mitarbeiter die Entwicklung ganzheitlicher Lösungen im Fertigungsumfeld voran. Unter dem Leitbild Machining Transformation (MX) kombiniert DMG MORI vier Säulen für die effiziente und nachhaltige Produktion der Zukunft: Prozessintegration, Automation, Digitale Transformation (DX) und Grüne Transformation (GX).</w:t>
      </w:r>
    </w:p>
    <w:p w14:paraId="1A984868" w14:textId="77777777" w:rsidR="001906A8" w:rsidRPr="001906A8" w:rsidRDefault="001906A8" w:rsidP="001906A8">
      <w:pPr>
        <w:spacing w:after="40" w:line="269" w:lineRule="auto"/>
        <w:ind w:right="1977"/>
        <w:jc w:val="both"/>
        <w:rPr>
          <w:rFonts w:ascii="Arial" w:eastAsia="MS Mincho" w:hAnsi="Arial" w:cs="Arial"/>
          <w:bCs/>
          <w:noProof/>
          <w:sz w:val="16"/>
          <w:szCs w:val="18"/>
          <w:lang w:val="de-DE" w:eastAsia="de-DE"/>
        </w:rPr>
      </w:pPr>
    </w:p>
    <w:p w14:paraId="5F1E8B41" w14:textId="77777777" w:rsidR="001906A8" w:rsidRPr="001906A8" w:rsidRDefault="001906A8" w:rsidP="001906A8">
      <w:pPr>
        <w:spacing w:after="40" w:line="269" w:lineRule="auto"/>
        <w:ind w:right="1977"/>
        <w:jc w:val="both"/>
        <w:rPr>
          <w:rFonts w:ascii="Arial" w:eastAsia="MS Mincho" w:hAnsi="Arial" w:cs="Arial"/>
          <w:bCs/>
          <w:noProof/>
          <w:sz w:val="16"/>
          <w:szCs w:val="18"/>
          <w:lang w:val="de-DE" w:eastAsia="de-DE"/>
        </w:rPr>
      </w:pPr>
      <w:r w:rsidRPr="001906A8">
        <w:rPr>
          <w:rFonts w:ascii="Arial" w:eastAsia="MS Mincho" w:hAnsi="Arial" w:cs="Arial"/>
          <w:bCs/>
          <w:noProof/>
          <w:sz w:val="16"/>
          <w:szCs w:val="18"/>
          <w:lang w:val="de-DE" w:eastAsia="de-DE"/>
        </w:rPr>
        <w:t>DMG MORI steht für Innovation, Qualität und Präzision. Unser Portfolio umfasst nachhaltige Fertigungs</w:t>
      </w:r>
      <w:r w:rsidRPr="001906A8">
        <w:rPr>
          <w:rFonts w:ascii="Arial" w:eastAsia="MS Mincho" w:hAnsi="Arial" w:cs="Arial"/>
          <w:bCs/>
          <w:noProof/>
          <w:sz w:val="16"/>
          <w:szCs w:val="18"/>
          <w:lang w:val="de-DE" w:eastAsia="de-DE"/>
        </w:rPr>
        <w:softHyphen/>
        <w:t>lösungen auf Basis der Technologien Drehen, Fräsen, Schleifen, Bohren sowie Ultrasonic, Lasertec und Additive Manufacturing. Mit Technologieintegration, durchgängigen Automations- und Digitalisierungs</w:t>
      </w:r>
      <w:r w:rsidRPr="001906A8">
        <w:rPr>
          <w:rFonts w:ascii="Arial" w:eastAsia="MS Mincho" w:hAnsi="Arial" w:cs="Arial"/>
          <w:bCs/>
          <w:noProof/>
          <w:sz w:val="16"/>
          <w:szCs w:val="18"/>
          <w:lang w:val="de-DE" w:eastAsia="de-DE"/>
        </w:rPr>
        <w:softHyphen/>
        <w:t>lösungen ermöglichen wir, die Produktivität und gleichzeitig die Ressourceneffizienz zu steigern.</w:t>
      </w:r>
    </w:p>
    <w:p w14:paraId="31D135C6" w14:textId="77777777" w:rsidR="001906A8" w:rsidRPr="001906A8" w:rsidRDefault="001906A8" w:rsidP="001906A8">
      <w:pPr>
        <w:spacing w:after="40" w:line="269" w:lineRule="auto"/>
        <w:ind w:right="1977"/>
        <w:jc w:val="both"/>
        <w:rPr>
          <w:rFonts w:ascii="Arial" w:eastAsia="MS Mincho" w:hAnsi="Arial" w:cs="Arial"/>
          <w:bCs/>
          <w:noProof/>
          <w:sz w:val="16"/>
          <w:szCs w:val="18"/>
          <w:lang w:val="de-DE" w:eastAsia="de-DE"/>
        </w:rPr>
      </w:pPr>
    </w:p>
    <w:p w14:paraId="4208BBC1" w14:textId="5B4CF104" w:rsidR="001906A8" w:rsidRPr="001906A8" w:rsidRDefault="00ED0252" w:rsidP="001906A8">
      <w:pPr>
        <w:spacing w:after="40" w:line="269" w:lineRule="auto"/>
        <w:ind w:right="1977"/>
        <w:jc w:val="both"/>
        <w:rPr>
          <w:rFonts w:ascii="Arial" w:eastAsia="MS Mincho" w:hAnsi="Arial" w:cs="Arial"/>
          <w:bCs/>
          <w:noProof/>
          <w:sz w:val="16"/>
          <w:szCs w:val="18"/>
          <w:lang w:val="de-DE" w:eastAsia="de-DE"/>
        </w:rPr>
      </w:pPr>
      <w:r w:rsidRPr="00ED0252">
        <w:rPr>
          <w:rFonts w:ascii="Arial" w:eastAsia="MS Mincho" w:hAnsi="Arial" w:cs="Arial"/>
          <w:bCs/>
          <w:noProof/>
          <w:sz w:val="16"/>
          <w:szCs w:val="18"/>
          <w:lang w:val="de-DE" w:eastAsia="de-DE"/>
        </w:rPr>
        <w:t xml:space="preserve">An unseren Produktionsstandorten realisieren wir für die Leitbranchen Aviation &amp; Space, Automotive &amp; E-Mobility, Die &amp; Mold, Medical und Semiconductor ganzheitliche Turnkey-Lösungen. </w:t>
      </w:r>
      <w:r w:rsidR="001906A8" w:rsidRPr="001906A8">
        <w:rPr>
          <w:rFonts w:ascii="Arial" w:eastAsia="MS Mincho" w:hAnsi="Arial" w:cs="Arial"/>
          <w:bCs/>
          <w:noProof/>
          <w:sz w:val="16"/>
          <w:szCs w:val="18"/>
          <w:lang w:val="de-DE" w:eastAsia="de-DE"/>
        </w:rPr>
        <w:t>Mit dem Partnerprogramm DMG MORI Qualified Products (DMQP) bieten wir perfekt abgestimmte Peripherie-Produkte aus einer Hand. Unsere kundenorientierten Services begleiten den gesamten Lebenszyklus einer Werkzeugmaschine – inklusive Training, Instandsetzung, Wartung und Ersatzteilservice.</w:t>
      </w:r>
    </w:p>
    <w:p w14:paraId="6417B83F" w14:textId="77777777" w:rsidR="001906A8" w:rsidRPr="001906A8" w:rsidRDefault="001906A8" w:rsidP="001906A8">
      <w:pPr>
        <w:spacing w:after="40" w:line="269" w:lineRule="auto"/>
        <w:ind w:right="1977"/>
        <w:jc w:val="both"/>
        <w:rPr>
          <w:rFonts w:ascii="Arial" w:eastAsia="MS Mincho" w:hAnsi="Arial" w:cs="Arial"/>
          <w:bCs/>
          <w:noProof/>
          <w:sz w:val="16"/>
          <w:szCs w:val="18"/>
          <w:lang w:val="de-DE" w:eastAsia="de-DE"/>
        </w:rPr>
      </w:pPr>
    </w:p>
    <w:p w14:paraId="7D04409E" w14:textId="77777777" w:rsidR="001906A8" w:rsidRPr="001906A8" w:rsidRDefault="001906A8" w:rsidP="001906A8">
      <w:pPr>
        <w:spacing w:after="40" w:line="269" w:lineRule="auto"/>
        <w:ind w:right="1977"/>
        <w:jc w:val="both"/>
        <w:rPr>
          <w:rFonts w:ascii="Arial" w:eastAsia="MS Mincho" w:hAnsi="Arial" w:cs="Arial"/>
          <w:bCs/>
          <w:noProof/>
          <w:sz w:val="16"/>
          <w:szCs w:val="18"/>
          <w:lang w:val="de-DE" w:eastAsia="de-DE"/>
        </w:rPr>
      </w:pPr>
    </w:p>
    <w:p w14:paraId="6AEC2605" w14:textId="49EE1E9C" w:rsidR="00AC23D7" w:rsidRPr="0004410D" w:rsidRDefault="00AC23D7" w:rsidP="00AC23D7">
      <w:pPr>
        <w:spacing w:after="40" w:line="269" w:lineRule="auto"/>
        <w:ind w:right="1977"/>
      </w:pPr>
      <w:r w:rsidRPr="00123E3B">
        <w:rPr>
          <w:rFonts w:ascii="Arial" w:hAnsi="Arial"/>
          <w:i/>
          <w:sz w:val="16"/>
          <w:szCs w:val="16"/>
        </w:rPr>
        <w:t xml:space="preserve">DMG MORI EMEA Holding GmbH </w:t>
      </w:r>
      <w:r w:rsidRPr="00241383">
        <w:rPr>
          <w:rFonts w:ascii="Arial" w:hAnsi="Arial"/>
          <w:i/>
          <w:iCs/>
          <w:sz w:val="16"/>
          <w:szCs w:val="16"/>
        </w:rPr>
        <w:t xml:space="preserve">| Walter-Gropius-Str. 7 | 80807 </w:t>
      </w:r>
      <w:r w:rsidR="00DB7DDE">
        <w:rPr>
          <w:rFonts w:ascii="Arial" w:hAnsi="Arial"/>
          <w:i/>
          <w:iCs/>
          <w:sz w:val="16"/>
          <w:szCs w:val="16"/>
        </w:rPr>
        <w:t>München</w:t>
      </w:r>
      <w:r w:rsidRPr="00241383">
        <w:rPr>
          <w:i/>
        </w:rPr>
        <w:br/>
      </w:r>
      <w:proofErr w:type="spellStart"/>
      <w:r w:rsidRPr="00123E3B">
        <w:rPr>
          <w:rFonts w:ascii="Arial" w:hAnsi="Arial"/>
          <w:i/>
          <w:sz w:val="16"/>
          <w:szCs w:val="16"/>
        </w:rPr>
        <w:t>Geschäftsführer</w:t>
      </w:r>
      <w:proofErr w:type="spellEnd"/>
      <w:r w:rsidRPr="00123E3B">
        <w:rPr>
          <w:rFonts w:ascii="Arial" w:hAnsi="Arial"/>
          <w:i/>
          <w:sz w:val="16"/>
          <w:szCs w:val="16"/>
        </w:rPr>
        <w:t xml:space="preserve">: </w:t>
      </w:r>
      <w:proofErr w:type="spellStart"/>
      <w:r w:rsidRPr="00123E3B">
        <w:rPr>
          <w:rFonts w:ascii="Arial" w:hAnsi="Arial"/>
          <w:i/>
          <w:sz w:val="16"/>
          <w:szCs w:val="16"/>
        </w:rPr>
        <w:t>Hirotake</w:t>
      </w:r>
      <w:proofErr w:type="spellEnd"/>
      <w:r w:rsidRPr="00123E3B">
        <w:rPr>
          <w:rFonts w:ascii="Arial" w:hAnsi="Arial"/>
          <w:i/>
          <w:sz w:val="16"/>
          <w:szCs w:val="16"/>
        </w:rPr>
        <w:t xml:space="preserve"> Kobayashi, James Nudo, Irene Bader, Rajeev Anand, Ralf Riedemann, Yosuke Nakatsukasa, Marc Joost</w:t>
      </w:r>
      <w:r>
        <w:rPr>
          <w:rFonts w:ascii="Arial" w:hAnsi="Arial"/>
          <w:i/>
          <w:sz w:val="16"/>
          <w:szCs w:val="16"/>
        </w:rPr>
        <w:br/>
      </w:r>
      <w:r w:rsidRPr="0004410D">
        <w:rPr>
          <w:rFonts w:ascii="Arial" w:hAnsi="Arial"/>
          <w:i/>
          <w:sz w:val="16"/>
          <w:szCs w:val="16"/>
        </w:rPr>
        <w:t>Telefonnummer: +49 89248835900</w:t>
      </w:r>
      <w:r>
        <w:rPr>
          <w:rFonts w:ascii="Arial" w:hAnsi="Arial"/>
          <w:i/>
          <w:sz w:val="16"/>
          <w:szCs w:val="16"/>
        </w:rPr>
        <w:br/>
      </w:r>
      <w:proofErr w:type="spellStart"/>
      <w:r w:rsidRPr="0004410D">
        <w:rPr>
          <w:rFonts w:ascii="Arial" w:hAnsi="Arial"/>
          <w:i/>
          <w:sz w:val="16"/>
          <w:szCs w:val="16"/>
        </w:rPr>
        <w:t>Datenschutz</w:t>
      </w:r>
      <w:proofErr w:type="spellEnd"/>
      <w:r w:rsidRPr="0004410D">
        <w:rPr>
          <w:rFonts w:ascii="Arial" w:hAnsi="Arial"/>
          <w:i/>
          <w:sz w:val="16"/>
          <w:szCs w:val="16"/>
        </w:rPr>
        <w:t>: DMG MORI EMEA Holding GmbH</w:t>
      </w:r>
    </w:p>
    <w:p w14:paraId="44BD1143" w14:textId="77777777" w:rsidR="001906A8" w:rsidRPr="002B2BF8" w:rsidRDefault="001906A8" w:rsidP="001906A8">
      <w:pPr>
        <w:tabs>
          <w:tab w:val="left" w:pos="2403"/>
        </w:tabs>
      </w:pPr>
    </w:p>
    <w:sectPr w:rsidR="001906A8" w:rsidRPr="002B2BF8" w:rsidSect="00C56313">
      <w:headerReference w:type="default" r:id="rId13"/>
      <w:footerReference w:type="default" r:id="rId14"/>
      <w:pgSz w:w="11906" w:h="16838"/>
      <w:pgMar w:top="3119"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A6FD3EF" w14:textId="77777777" w:rsidR="00966882" w:rsidRDefault="00966882" w:rsidP="003F4354">
      <w:pPr>
        <w:spacing w:after="0" w:line="240" w:lineRule="auto"/>
      </w:pPr>
      <w:r>
        <w:separator/>
      </w:r>
    </w:p>
  </w:endnote>
  <w:endnote w:type="continuationSeparator" w:id="0">
    <w:p w14:paraId="5F597E52" w14:textId="77777777" w:rsidR="00966882" w:rsidRDefault="00966882" w:rsidP="003F43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mpatilFactLTPro-Rg">
    <w:altName w:val="Cambria"/>
    <w:charset w:val="4D"/>
    <w:family w:val="swiss"/>
    <w:pitch w:val="variable"/>
    <w:sig w:usb0="00000003" w:usb1="00000000" w:usb2="00000000" w:usb3="00000000" w:csb0="00000093" w:csb1="00000000"/>
  </w:font>
  <w:font w:name="Aptos">
    <w:charset w:val="00"/>
    <w:family w:val="swiss"/>
    <w:pitch w:val="variable"/>
    <w:sig w:usb0="20000287" w:usb1="00000003" w:usb2="00000000" w:usb3="00000000" w:csb0="0000019F" w:csb1="00000000"/>
  </w:font>
  <w:font w:name="Compatil Fact LT Pro">
    <w:altName w:val="Cambria"/>
    <w:charset w:val="00"/>
    <w:family w:val="modern"/>
    <w:pitch w:val="variable"/>
    <w:sig w:usb0="800000AF" w:usb1="5000204A" w:usb2="00000000" w:usb3="00000000" w:csb0="0000009B"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MinionPro-Regular">
    <w:altName w:val="Calibri"/>
    <w:charset w:val="4D"/>
    <w:family w:val="auto"/>
    <w:pitch w:val="default"/>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ompatilFactLTPro-Bd">
    <w:altName w:val="Calibri"/>
    <w:charset w:val="4D"/>
    <w:family w:val="swiss"/>
    <w:pitch w:val="variable"/>
    <w:sig w:usb0="00000003" w:usb1="00000000" w:usb2="00000000" w:usb3="00000000" w:csb0="00000093" w:csb1="00000000"/>
  </w:font>
  <w:font w:name="Arial Fett">
    <w:altName w:val="Arial"/>
    <w:panose1 w:val="020B0704020202020204"/>
    <w:charset w:val="00"/>
    <w:family w:val="roman"/>
    <w:pitch w:val="default"/>
  </w:font>
  <w:font w:name="Yu Gothic">
    <w:altName w:val="游ゴシック"/>
    <w:panose1 w:val="020B04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23608449"/>
      <w:docPartObj>
        <w:docPartGallery w:val="Page Numbers (Bottom of Page)"/>
        <w:docPartUnique/>
      </w:docPartObj>
    </w:sdtPr>
    <w:sdtContent>
      <w:p w14:paraId="497B668F" w14:textId="3D1AFE5E" w:rsidR="007B7614" w:rsidRDefault="007B7614">
        <w:pPr>
          <w:pStyle w:val="Fuzeile"/>
          <w:jc w:val="center"/>
        </w:pPr>
        <w:r>
          <w:rPr>
            <w:noProof/>
          </w:rPr>
          <mc:AlternateContent>
            <mc:Choice Requires="wps">
              <w:drawing>
                <wp:inline distT="0" distB="0" distL="0" distR="0" wp14:anchorId="5340CDEB" wp14:editId="4B71FF7B">
                  <wp:extent cx="5467350" cy="45085"/>
                  <wp:effectExtent l="9525" t="9525" r="0" b="2540"/>
                  <wp:docPr id="647014157" name="Flussdiagramm: Verzweigung 1" descr="Light horizont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5467350" cy="45085"/>
                          </a:xfrm>
                          <a:prstGeom prst="flowChartDecision">
                            <a:avLst/>
                          </a:prstGeom>
                          <a:pattFill prst="ltHorz">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shapetype w14:anchorId="59E02225" id="_x0000_t110" coordsize="21600,21600" o:spt="110" path="m10800,l,10800,10800,21600,21600,10800xe">
                  <v:stroke joinstyle="miter"/>
                  <v:path gradientshapeok="t" o:connecttype="rect" textboxrect="5400,5400,16200,16200"/>
                </v:shapetype>
                <v:shape id="Flussdiagramm: Verzweigung 1" o:spid="_x0000_s1026" type="#_x0000_t110" alt="Light horizontal" style="width:430.5pt;height:3.55pt;flip:y;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" fillcolor="black" stroked="f">
                  <v:fill r:id="rId1" o:title="" type="pattern"/>
                  <w10:anchorlock/>
                </v:shape>
              </w:pict>
            </mc:Fallback>
          </mc:AlternateContent>
        </w:r>
      </w:p>
      <w:p w14:paraId="1E1A685F" w14:textId="409C093B" w:rsidR="007B7614" w:rsidRDefault="007B7614">
        <w:pPr>
          <w:pStyle w:val="Fuzeile"/>
          <w:jc w:val="center"/>
        </w:pPr>
        <w:r w:rsidRPr="00AC6BBC">
          <w:rPr>
            <w:rFonts w:ascii="Arial" w:hAnsi="Arial" w:cs="Arial"/>
          </w:rPr>
          <w:fldChar w:fldCharType="begin"/>
        </w:r>
        <w:r w:rsidRPr="00AC6BBC">
          <w:rPr>
            <w:rFonts w:ascii="Arial" w:hAnsi="Arial" w:cs="Arial"/>
          </w:rPr>
          <w:instrText>PAGE    \* MERGEFORMAT</w:instrText>
        </w:r>
        <w:r w:rsidRPr="00AC6BBC">
          <w:rPr>
            <w:rFonts w:ascii="Arial" w:hAnsi="Arial" w:cs="Arial"/>
          </w:rPr>
          <w:fldChar w:fldCharType="separate"/>
        </w:r>
        <w:r w:rsidRPr="00AC6BBC">
          <w:rPr>
            <w:rFonts w:ascii="Arial" w:hAnsi="Arial" w:cs="Arial"/>
            <w:lang w:val="de-DE"/>
          </w:rPr>
          <w:t>2</w:t>
        </w:r>
        <w:r w:rsidRPr="00AC6BBC">
          <w:rPr>
            <w:rFonts w:ascii="Arial" w:hAnsi="Arial" w:cs="Arial"/>
          </w:rPr>
          <w:fldChar w:fldCharType="end"/>
        </w:r>
      </w:p>
    </w:sdtContent>
  </w:sdt>
  <w:p w14:paraId="79F394A6" w14:textId="77777777" w:rsidR="007B7614" w:rsidRDefault="007B7614">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9E9C95C" w14:textId="77777777" w:rsidR="00966882" w:rsidRDefault="00966882" w:rsidP="003F4354">
      <w:pPr>
        <w:spacing w:after="0" w:line="240" w:lineRule="auto"/>
      </w:pPr>
      <w:r>
        <w:separator/>
      </w:r>
    </w:p>
  </w:footnote>
  <w:footnote w:type="continuationSeparator" w:id="0">
    <w:p w14:paraId="3DC2285A" w14:textId="77777777" w:rsidR="00966882" w:rsidRDefault="00966882" w:rsidP="003F43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9E7E65" w14:textId="77777777" w:rsidR="003F4354" w:rsidRPr="00836514" w:rsidRDefault="003F4354" w:rsidP="003F4354">
    <w:pPr>
      <w:pStyle w:val="EinfAbs"/>
      <w:tabs>
        <w:tab w:val="left" w:pos="1590"/>
        <w:tab w:val="left" w:pos="3240"/>
        <w:tab w:val="left" w:pos="5895"/>
      </w:tabs>
      <w:spacing w:after="113"/>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pPr>
    <w:bookmarkStart w:id="0" w:name="_Hlk141089219"/>
    <w:bookmarkStart w:id="1" w:name="_Hlk141089220"/>
    <w:r>
      <w:rPr>
        <w:noProof/>
      </w:rPr>
      <w:drawing>
        <wp:anchor distT="0" distB="0" distL="114300" distR="114300" simplePos="0" relativeHeight="251658245" behindDoc="1" locked="0" layoutInCell="1" allowOverlap="1" wp14:anchorId="60B10372" wp14:editId="01DE0954">
          <wp:simplePos x="0" y="0"/>
          <wp:positionH relativeFrom="margin">
            <wp:align>left</wp:align>
          </wp:positionH>
          <wp:positionV relativeFrom="paragraph">
            <wp:posOffset>6985</wp:posOffset>
          </wp:positionV>
          <wp:extent cx="2641600" cy="281940"/>
          <wp:effectExtent l="0" t="0" r="6350" b="3810"/>
          <wp:wrapTight wrapText="bothSides">
            <wp:wrapPolygon edited="0">
              <wp:start x="0" y="0"/>
              <wp:lineTo x="0" y="20432"/>
              <wp:lineTo x="21496" y="20432"/>
              <wp:lineTo x="21496" y="0"/>
              <wp:lineTo x="0" y="0"/>
            </wp:wrapPolygon>
          </wp:wrapTight>
          <wp:docPr id="31" name="Picture 121833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45061" cy="2822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de-DE"/>
      </w:rPr>
      <w:t xml:space="preserve"> </w:t>
    </w:r>
    <w:r>
      <w:rPr>
        <w:noProof/>
        <w:lang w:eastAsia="de-DE"/>
      </w:rPr>
      <mc:AlternateContent>
        <mc:Choice Requires="wps">
          <w:drawing>
            <wp:anchor distT="0" distB="0" distL="114300" distR="114300" simplePos="0" relativeHeight="251658241" behindDoc="0" locked="0" layoutInCell="1" allowOverlap="1" wp14:anchorId="3E1897FC" wp14:editId="508B686E">
              <wp:simplePos x="0" y="0"/>
              <wp:positionH relativeFrom="margin">
                <wp:posOffset>3604260</wp:posOffset>
              </wp:positionH>
              <wp:positionV relativeFrom="paragraph">
                <wp:posOffset>35560</wp:posOffset>
              </wp:positionV>
              <wp:extent cx="2511425" cy="390525"/>
              <wp:effectExtent l="0" t="0" r="3175" b="9525"/>
              <wp:wrapNone/>
              <wp:docPr id="1524393184" name="Text Box 1524393184"/>
              <wp:cNvGraphicFramePr/>
              <a:graphic xmlns:a="http://schemas.openxmlformats.org/drawingml/2006/main">
                <a:graphicData uri="http://schemas.microsoft.com/office/word/2010/wordprocessingShape">
                  <wps:wsp>
                    <wps:cNvSpPr txBox="1"/>
                    <wps:spPr>
                      <a:xfrm>
                        <a:off x="0" y="0"/>
                        <a:ext cx="2511425" cy="390525"/>
                      </a:xfrm>
                      <a:prstGeom prst="rect">
                        <a:avLst/>
                      </a:prstGeom>
                      <a:noFill/>
                      <a:ln w="6350">
                        <a:noFill/>
                      </a:ln>
                      <a:effectLst/>
                    </wps:spPr>
                    <wps:txbx>
                      <w:txbxContent>
                        <w:p w14:paraId="48E4792C" w14:textId="1078222A"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PressEMITTEILUNG</w:t>
                          </w:r>
                        </w:p>
                        <w:p w14:paraId="00097B22" w14:textId="122E2CC4" w:rsidR="003F4354" w:rsidRPr="00092E73" w:rsidRDefault="00B61EE8"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26.01.2026</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1897FC" id="_x0000_t202" coordsize="21600,21600" o:spt="202" path="m,l,21600r21600,l21600,xe">
              <v:stroke joinstyle="miter"/>
              <v:path gradientshapeok="t" o:connecttype="rect"/>
            </v:shapetype>
            <v:shape id="Text Box 1524393184" o:spid="_x0000_s1026" type="#_x0000_t202" style="position:absolute;margin-left:283.8pt;margin-top:2.8pt;width:197.75pt;height:30.7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" filled="f" stroked="f" strokeweight=".5pt">
              <v:textbox inset="0,0,0,0">
                <w:txbxContent>
                  <w:p w14:paraId="48E4792C" w14:textId="1078222A"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PressEMITTEILUNG</w:t>
                    </w:r>
                  </w:p>
                  <w:p w14:paraId="00097B22" w14:textId="122E2CC4" w:rsidR="003F4354" w:rsidRPr="00092E73" w:rsidRDefault="00B61EE8"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26.01.2026</w:t>
                    </w:r>
                  </w:p>
                </w:txbxContent>
              </v:textbox>
              <w10:wrap anchorx="margin"/>
            </v:shape>
          </w:pict>
        </mc:Fallback>
      </mc:AlternateContent>
    </w:r>
    <w:r w:rsidRPr="00836514">
      <w:rPr>
        <w:rFonts w:ascii="CompatilFactLTPro-Bd" w:hAnsi="CompatilFactLTPro-Bd" w:cs="CompatilFactLTPro-Bd"/>
        <w:b/>
        <w:bCs/>
        <w:outline/>
        <w:noProof/>
        <w:spacing w:val="7"/>
        <w:sz w:val="14"/>
        <w:szCs w:val="14"/>
        <w:lang w:eastAsia="de-DE"/>
        <w14:textOutline w14:w="9525" w14:cap="flat" w14:cmpd="sng" w14:algn="ctr">
          <w14:solidFill>
            <w14:srgbClr w14:val="000000"/>
          </w14:solidFill>
          <w14:prstDash w14:val="solid"/>
          <w14:round/>
        </w14:textOutline>
        <w14:textFill>
          <w14:noFill/>
        </w14:textFill>
      </w:rPr>
      <w:drawing>
        <wp:anchor distT="0" distB="0" distL="114300" distR="114300" simplePos="0" relativeHeight="251658240" behindDoc="1" locked="0" layoutInCell="1" allowOverlap="1" wp14:anchorId="0F321230" wp14:editId="6BC2CC15">
          <wp:simplePos x="0" y="0"/>
          <wp:positionH relativeFrom="column">
            <wp:posOffset>6955155</wp:posOffset>
          </wp:positionH>
          <wp:positionV relativeFrom="paragraph">
            <wp:posOffset>-51435</wp:posOffset>
          </wp:positionV>
          <wp:extent cx="7588800" cy="1441260"/>
          <wp:effectExtent l="0" t="0" r="0" b="0"/>
          <wp:wrapNone/>
          <wp:docPr id="32" name="Picture 1597604907" descr="Ein Bild, das Reih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7604907" name="Picture 1597604907" descr="Ein Bild, das Reihe, Screenshot enthält.&#10;&#10;Automatisch generierte Beschreibun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88800" cy="14412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3651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83651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83651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p>
  <w:p w14:paraId="5463D27D" w14:textId="77777777" w:rsidR="003F4354" w:rsidRDefault="003F4354" w:rsidP="003F4354">
    <w:pPr>
      <w:pStyle w:val="Kopfzeile"/>
      <w:tabs>
        <w:tab w:val="left" w:pos="3870"/>
        <w:tab w:val="left" w:pos="4350"/>
        <w:tab w:val="center" w:pos="4749"/>
        <w:tab w:val="left" w:pos="5895"/>
      </w:tabs>
    </w:pPr>
    <w:r>
      <w:tab/>
    </w:r>
    <w:r>
      <w:tab/>
    </w:r>
    <w:r>
      <w:tab/>
    </w:r>
    <w:r>
      <w:tab/>
    </w:r>
  </w:p>
  <w:p w14:paraId="148EF189" w14:textId="618285E5" w:rsidR="003F4354" w:rsidRDefault="003F4354" w:rsidP="003F4354">
    <w:pPr>
      <w:tabs>
        <w:tab w:val="left" w:pos="3375"/>
        <w:tab w:val="left" w:pos="4130"/>
        <w:tab w:val="left" w:pos="6210"/>
      </w:tabs>
    </w:pPr>
    <w:r>
      <w:tab/>
    </w:r>
    <w:r>
      <w:tab/>
    </w:r>
    <w:r>
      <w:tab/>
    </w:r>
  </w:p>
  <w:p w14:paraId="4AD4CC5E" w14:textId="77777777" w:rsidR="003F4354" w:rsidRPr="002C1A3D" w:rsidRDefault="003F4354" w:rsidP="003F4354">
    <w:pPr>
      <w:pStyle w:val="Kopfzeile"/>
    </w:pPr>
    <w:r>
      <w:rPr>
        <w:noProof/>
        <w:lang w:eastAsia="de-DE"/>
      </w:rPr>
      <mc:AlternateContent>
        <mc:Choice Requires="wps">
          <w:drawing>
            <wp:anchor distT="0" distB="0" distL="114300" distR="114300" simplePos="0" relativeHeight="251658244" behindDoc="0" locked="0" layoutInCell="1" allowOverlap="1" wp14:anchorId="06F9B7DF" wp14:editId="350F954B">
              <wp:simplePos x="0" y="0"/>
              <wp:positionH relativeFrom="margin">
                <wp:posOffset>2575560</wp:posOffset>
              </wp:positionH>
              <wp:positionV relativeFrom="paragraph">
                <wp:posOffset>342265</wp:posOffset>
              </wp:positionV>
              <wp:extent cx="2130425" cy="304800"/>
              <wp:effectExtent l="0" t="0" r="3175" b="0"/>
              <wp:wrapNone/>
              <wp:docPr id="2128396787" name="Text Box 2128396787"/>
              <wp:cNvGraphicFramePr/>
              <a:graphic xmlns:a="http://schemas.openxmlformats.org/drawingml/2006/main">
                <a:graphicData uri="http://schemas.microsoft.com/office/word/2010/wordprocessingShape">
                  <wps:wsp>
                    <wps:cNvSpPr txBox="1"/>
                    <wps:spPr>
                      <a:xfrm>
                        <a:off x="0" y="0"/>
                        <a:ext cx="2130425" cy="304800"/>
                      </a:xfrm>
                      <a:prstGeom prst="rect">
                        <a:avLst/>
                      </a:prstGeom>
                      <a:noFill/>
                      <a:ln w="6350">
                        <a:noFill/>
                      </a:ln>
                      <a:effectLst/>
                    </wps:spPr>
                    <wps:txbx>
                      <w:txbxContent>
                        <w:p w14:paraId="611727E9" w14:textId="164C18AC" w:rsidR="003F4354" w:rsidRDefault="00C3200F"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stine.piegsa</w:t>
                          </w:r>
                          <w:r w:rsidR="003F4354" w:rsidRPr="0046651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3" w:history="1">
                            <w:r w:rsidRPr="00466517">
                              <w:rPr>
                                <w:rStyle w:val="Hyperlink"/>
                                <w:rFonts w:ascii="Arial" w:hAnsi="Arial" w:cs="Arial"/>
                                <w:color w:val="595959" w:themeColor="text1" w:themeTint="A6"/>
                                <w:position w:val="2"/>
                                <w:sz w:val="16"/>
                                <w:szCs w:val="16"/>
                                <w:lang w:val="en-US"/>
                              </w:rPr>
                              <w:t>dmgmori.com</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F9B7DF" id="Text Box 2128396787" o:spid="_x0000_s1027" type="#_x0000_t202" style="position:absolute;margin-left:202.8pt;margin-top:26.95pt;width:167.75pt;height:24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" filled="f" stroked="f" strokeweight=".5pt">
              <v:textbox inset="0,0,0,0">
                <w:txbxContent>
                  <w:p w14:paraId="611727E9" w14:textId="164C18AC" w:rsidR="003F4354" w:rsidRDefault="00C3200F"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stine.piegsa</w:t>
                    </w:r>
                    <w:r w:rsidR="003F4354" w:rsidRPr="0046651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4" w:history="1">
                      <w:r w:rsidRPr="00466517">
                        <w:rPr>
                          <w:rStyle w:val="Hyperlink"/>
                          <w:rFonts w:ascii="Arial" w:hAnsi="Arial" w:cs="Arial"/>
                          <w:color w:val="595959" w:themeColor="text1" w:themeTint="A6"/>
                          <w:position w:val="2"/>
                          <w:sz w:val="16"/>
                          <w:szCs w:val="16"/>
                          <w:lang w:val="en-US"/>
                        </w:rPr>
                        <w:t>dmgmori.com</w:t>
                      </w:r>
                    </w:hyperlink>
                  </w:p>
                </w:txbxContent>
              </v:textbox>
              <w10:wrap anchorx="margin"/>
            </v:shape>
          </w:pict>
        </mc:Fallback>
      </mc:AlternateContent>
    </w:r>
    <w:r>
      <w:rPr>
        <w:noProof/>
        <w:lang w:eastAsia="de-DE"/>
      </w:rPr>
      <mc:AlternateContent>
        <mc:Choice Requires="wps">
          <w:drawing>
            <wp:anchor distT="0" distB="0" distL="114300" distR="114300" simplePos="0" relativeHeight="251658243" behindDoc="0" locked="0" layoutInCell="1" allowOverlap="1" wp14:anchorId="31DF2953" wp14:editId="59412F24">
              <wp:simplePos x="0" y="0"/>
              <wp:positionH relativeFrom="margin">
                <wp:align>left</wp:align>
              </wp:positionH>
              <wp:positionV relativeFrom="paragraph">
                <wp:posOffset>221615</wp:posOffset>
              </wp:positionV>
              <wp:extent cx="2130425" cy="444500"/>
              <wp:effectExtent l="0" t="0" r="3175" b="12700"/>
              <wp:wrapNone/>
              <wp:docPr id="612613436" name="Text Box 612613436"/>
              <wp:cNvGraphicFramePr/>
              <a:graphic xmlns:a="http://schemas.openxmlformats.org/drawingml/2006/main">
                <a:graphicData uri="http://schemas.microsoft.com/office/word/2010/wordprocessingShape">
                  <wps:wsp>
                    <wps:cNvSpPr txBox="1"/>
                    <wps:spPr>
                      <a:xfrm>
                        <a:off x="0" y="0"/>
                        <a:ext cx="2130425" cy="444500"/>
                      </a:xfrm>
                      <a:prstGeom prst="rect">
                        <a:avLst/>
                      </a:prstGeom>
                      <a:noFill/>
                      <a:ln w="6350">
                        <a:noFill/>
                      </a:ln>
                      <a:effectLst/>
                    </wps:spPr>
                    <wps:txbx>
                      <w:txbxContent>
                        <w:p w14:paraId="69DE1898" w14:textId="77777777" w:rsidR="003F4354" w:rsidRPr="00C3200F" w:rsidRDefault="003F4354" w:rsidP="003F4354">
                          <w:pPr>
                            <w:pStyle w:val="EinfAbs"/>
                            <w:spacing w:line="276" w:lineRule="auto"/>
                            <w:rPr>
                              <w:rFonts w:ascii="Arial" w:hAnsi="Arial" w:cs="Arial"/>
                              <w:b/>
                              <w:bCs/>
                              <w:color w:val="595959" w:themeColor="text1" w:themeTint="A6"/>
                              <w:position w:val="2"/>
                              <w:sz w:val="16"/>
                              <w:szCs w:val="16"/>
                              <w:lang w:val="en-US"/>
                            </w:rPr>
                          </w:pPr>
                          <w:proofErr w:type="spellStart"/>
                          <w:r w:rsidRPr="00C3200F">
                            <w:rPr>
                              <w:rFonts w:ascii="Arial" w:hAnsi="Arial" w:cs="Arial"/>
                              <w:b/>
                              <w:bCs/>
                              <w:color w:val="4C4C4C"/>
                              <w:position w:val="2"/>
                              <w:sz w:val="16"/>
                              <w:szCs w:val="16"/>
                              <w:lang w:val="en-US"/>
                            </w:rPr>
                            <w:t>Kontakt</w:t>
                          </w:r>
                          <w:proofErr w:type="spellEnd"/>
                          <w:r w:rsidRPr="00C3200F">
                            <w:rPr>
                              <w:rFonts w:ascii="Arial" w:hAnsi="Arial" w:cs="Arial"/>
                              <w:b/>
                              <w:bCs/>
                              <w:color w:val="4C4C4C"/>
                              <w:position w:val="2"/>
                              <w:sz w:val="16"/>
                              <w:szCs w:val="16"/>
                              <w:lang w:val="en-US"/>
                            </w:rPr>
                            <w:t xml:space="preserve"> </w:t>
                          </w:r>
                          <w:r w:rsidRPr="00C3200F">
                            <w:rPr>
                              <w:rFonts w:ascii="Arial" w:hAnsi="Arial" w:cs="Arial"/>
                              <w:b/>
                              <w:bCs/>
                              <w:color w:val="595959" w:themeColor="text1" w:themeTint="A6"/>
                              <w:position w:val="2"/>
                              <w:sz w:val="16"/>
                              <w:szCs w:val="16"/>
                              <w:lang w:val="en-US"/>
                            </w:rPr>
                            <w:t>Technical Communication:</w:t>
                          </w:r>
                        </w:p>
                        <w:p w14:paraId="08626B32" w14:textId="2892E0B8" w:rsidR="003F4354" w:rsidRPr="00C3200F" w:rsidRDefault="00C3200F" w:rsidP="003F4354">
                          <w:pPr>
                            <w:pStyle w:val="EinfAbs"/>
                            <w:tabs>
                              <w:tab w:val="left" w:pos="454"/>
                            </w:tabs>
                            <w:spacing w:line="276" w:lineRule="auto"/>
                            <w:rPr>
                              <w:rFonts w:ascii="Arial" w:hAnsi="Arial" w:cs="Arial"/>
                              <w:color w:val="4C4C4C"/>
                              <w:position w:val="2"/>
                              <w:sz w:val="16"/>
                              <w:szCs w:val="16"/>
                              <w:lang w:val="en-US"/>
                            </w:rPr>
                          </w:pPr>
                          <w:r w:rsidRPr="00C3200F">
                            <w:rPr>
                              <w:rFonts w:ascii="Arial" w:hAnsi="Arial" w:cs="Arial"/>
                              <w:color w:val="4C4C4C"/>
                              <w:position w:val="2"/>
                              <w:sz w:val="16"/>
                              <w:szCs w:val="16"/>
                              <w:lang w:val="en-US"/>
                            </w:rPr>
                            <w:t>S</w:t>
                          </w:r>
                          <w:r>
                            <w:rPr>
                              <w:rFonts w:ascii="Arial" w:hAnsi="Arial" w:cs="Arial"/>
                              <w:color w:val="4C4C4C"/>
                              <w:position w:val="2"/>
                              <w:sz w:val="16"/>
                              <w:szCs w:val="16"/>
                              <w:lang w:val="en-US"/>
                            </w:rPr>
                            <w:t xml:space="preserve">tine </w:t>
                          </w:r>
                          <w:proofErr w:type="spellStart"/>
                          <w:r>
                            <w:rPr>
                              <w:rFonts w:ascii="Arial" w:hAnsi="Arial" w:cs="Arial"/>
                              <w:color w:val="4C4C4C"/>
                              <w:position w:val="2"/>
                              <w:sz w:val="16"/>
                              <w:szCs w:val="16"/>
                              <w:lang w:val="en-US"/>
                            </w:rPr>
                            <w:t>Piegsa</w:t>
                          </w:r>
                          <w:proofErr w:type="spellEnd"/>
                        </w:p>
                        <w:p w14:paraId="42B71DD4" w14:textId="5C77CC0A" w:rsidR="003F4354" w:rsidRPr="00C3200F" w:rsidRDefault="001E6939" w:rsidP="001E6939">
                          <w:pPr>
                            <w:pStyle w:val="EinfAbs"/>
                            <w:tabs>
                              <w:tab w:val="left" w:pos="454"/>
                            </w:tabs>
                            <w:spacing w:line="276" w:lineRule="auto"/>
                            <w:rPr>
                              <w:rFonts w:ascii="Arial" w:hAnsi="Arial" w:cs="Arial"/>
                              <w:color w:val="4C4C4C"/>
                              <w:position w:val="2"/>
                              <w:sz w:val="16"/>
                              <w:szCs w:val="16"/>
                              <w:lang w:val="en-US"/>
                            </w:rPr>
                          </w:pPr>
                          <w:r w:rsidRPr="001E6939">
                            <w:rPr>
                              <w:rFonts w:ascii="Arial" w:hAnsi="Arial" w:cs="Arial"/>
                              <w:color w:val="4C4C4C"/>
                              <w:position w:val="2"/>
                              <w:sz w:val="16"/>
                              <w:szCs w:val="16"/>
                              <w:lang w:val="en-US"/>
                            </w:rPr>
                            <w:t>DMG MORI EMEA Holding GmbH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DF2953" id="Text Box 612613436" o:spid="_x0000_s1028" type="#_x0000_t202" style="position:absolute;margin-left:0;margin-top:17.45pt;width:167.75pt;height:35pt;z-index:251658243;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" filled="f" stroked="f" strokeweight=".5pt">
              <v:textbox inset="0,0,0,0">
                <w:txbxContent>
                  <w:p w14:paraId="69DE1898" w14:textId="77777777" w:rsidR="003F4354" w:rsidRPr="00C3200F" w:rsidRDefault="003F4354" w:rsidP="003F4354">
                    <w:pPr>
                      <w:pStyle w:val="EinfAbs"/>
                      <w:spacing w:line="276" w:lineRule="auto"/>
                      <w:rPr>
                        <w:rFonts w:ascii="Arial" w:hAnsi="Arial" w:cs="Arial"/>
                        <w:b/>
                        <w:bCs/>
                        <w:color w:val="595959" w:themeColor="text1" w:themeTint="A6"/>
                        <w:position w:val="2"/>
                        <w:sz w:val="16"/>
                        <w:szCs w:val="16"/>
                        <w:lang w:val="en-US"/>
                      </w:rPr>
                    </w:pPr>
                    <w:proofErr w:type="spellStart"/>
                    <w:r w:rsidRPr="00C3200F">
                      <w:rPr>
                        <w:rFonts w:ascii="Arial" w:hAnsi="Arial" w:cs="Arial"/>
                        <w:b/>
                        <w:bCs/>
                        <w:color w:val="4C4C4C"/>
                        <w:position w:val="2"/>
                        <w:sz w:val="16"/>
                        <w:szCs w:val="16"/>
                        <w:lang w:val="en-US"/>
                      </w:rPr>
                      <w:t>Kontakt</w:t>
                    </w:r>
                    <w:proofErr w:type="spellEnd"/>
                    <w:r w:rsidRPr="00C3200F">
                      <w:rPr>
                        <w:rFonts w:ascii="Arial" w:hAnsi="Arial" w:cs="Arial"/>
                        <w:b/>
                        <w:bCs/>
                        <w:color w:val="4C4C4C"/>
                        <w:position w:val="2"/>
                        <w:sz w:val="16"/>
                        <w:szCs w:val="16"/>
                        <w:lang w:val="en-US"/>
                      </w:rPr>
                      <w:t xml:space="preserve"> </w:t>
                    </w:r>
                    <w:r w:rsidRPr="00C3200F">
                      <w:rPr>
                        <w:rFonts w:ascii="Arial" w:hAnsi="Arial" w:cs="Arial"/>
                        <w:b/>
                        <w:bCs/>
                        <w:color w:val="595959" w:themeColor="text1" w:themeTint="A6"/>
                        <w:position w:val="2"/>
                        <w:sz w:val="16"/>
                        <w:szCs w:val="16"/>
                        <w:lang w:val="en-US"/>
                      </w:rPr>
                      <w:t>Technical Communication:</w:t>
                    </w:r>
                  </w:p>
                  <w:p w14:paraId="08626B32" w14:textId="2892E0B8" w:rsidR="003F4354" w:rsidRPr="00C3200F" w:rsidRDefault="00C3200F" w:rsidP="003F4354">
                    <w:pPr>
                      <w:pStyle w:val="EinfAbs"/>
                      <w:tabs>
                        <w:tab w:val="left" w:pos="454"/>
                      </w:tabs>
                      <w:spacing w:line="276" w:lineRule="auto"/>
                      <w:rPr>
                        <w:rFonts w:ascii="Arial" w:hAnsi="Arial" w:cs="Arial"/>
                        <w:color w:val="4C4C4C"/>
                        <w:position w:val="2"/>
                        <w:sz w:val="16"/>
                        <w:szCs w:val="16"/>
                        <w:lang w:val="en-US"/>
                      </w:rPr>
                    </w:pPr>
                    <w:r w:rsidRPr="00C3200F">
                      <w:rPr>
                        <w:rFonts w:ascii="Arial" w:hAnsi="Arial" w:cs="Arial"/>
                        <w:color w:val="4C4C4C"/>
                        <w:position w:val="2"/>
                        <w:sz w:val="16"/>
                        <w:szCs w:val="16"/>
                        <w:lang w:val="en-US"/>
                      </w:rPr>
                      <w:t>S</w:t>
                    </w:r>
                    <w:r>
                      <w:rPr>
                        <w:rFonts w:ascii="Arial" w:hAnsi="Arial" w:cs="Arial"/>
                        <w:color w:val="4C4C4C"/>
                        <w:position w:val="2"/>
                        <w:sz w:val="16"/>
                        <w:szCs w:val="16"/>
                        <w:lang w:val="en-US"/>
                      </w:rPr>
                      <w:t xml:space="preserve">tine </w:t>
                    </w:r>
                    <w:proofErr w:type="spellStart"/>
                    <w:r>
                      <w:rPr>
                        <w:rFonts w:ascii="Arial" w:hAnsi="Arial" w:cs="Arial"/>
                        <w:color w:val="4C4C4C"/>
                        <w:position w:val="2"/>
                        <w:sz w:val="16"/>
                        <w:szCs w:val="16"/>
                        <w:lang w:val="en-US"/>
                      </w:rPr>
                      <w:t>Piegsa</w:t>
                    </w:r>
                    <w:proofErr w:type="spellEnd"/>
                  </w:p>
                  <w:p w14:paraId="42B71DD4" w14:textId="5C77CC0A" w:rsidR="003F4354" w:rsidRPr="00C3200F" w:rsidRDefault="001E6939" w:rsidP="001E6939">
                    <w:pPr>
                      <w:pStyle w:val="EinfAbs"/>
                      <w:tabs>
                        <w:tab w:val="left" w:pos="454"/>
                      </w:tabs>
                      <w:spacing w:line="276" w:lineRule="auto"/>
                      <w:rPr>
                        <w:rFonts w:ascii="Arial" w:hAnsi="Arial" w:cs="Arial"/>
                        <w:color w:val="4C4C4C"/>
                        <w:position w:val="2"/>
                        <w:sz w:val="16"/>
                        <w:szCs w:val="16"/>
                        <w:lang w:val="en-US"/>
                      </w:rPr>
                    </w:pPr>
                    <w:r w:rsidRPr="001E6939">
                      <w:rPr>
                        <w:rFonts w:ascii="Arial" w:hAnsi="Arial" w:cs="Arial"/>
                        <w:color w:val="4C4C4C"/>
                        <w:position w:val="2"/>
                        <w:sz w:val="16"/>
                        <w:szCs w:val="16"/>
                        <w:lang w:val="en-US"/>
                      </w:rPr>
                      <w:t>DMG MORI EMEA Holding GmbH</w:t>
                    </w:r>
                  </w:p>
                </w:txbxContent>
              </v:textbox>
              <w10:wrap anchorx="margin"/>
            </v:shape>
          </w:pict>
        </mc:Fallback>
      </mc:AlternateContent>
    </w:r>
    <w:bookmarkEnd w:id="0"/>
    <w:bookmarkEnd w:id="1"/>
  </w:p>
  <w:p w14:paraId="1626E5BD" w14:textId="6757816C" w:rsidR="003F4354" w:rsidRDefault="003F4354">
    <w:pPr>
      <w:pStyle w:val="Kopfzeile"/>
    </w:pPr>
    <w:r>
      <w:rPr>
        <w:noProof/>
        <w:lang w:eastAsia="de-DE"/>
      </w:rPr>
      <mc:AlternateContent>
        <mc:Choice Requires="wps">
          <w:drawing>
            <wp:anchor distT="0" distB="0" distL="114300" distR="114300" simplePos="0" relativeHeight="251658242" behindDoc="0" locked="0" layoutInCell="1" allowOverlap="1" wp14:anchorId="3C7F2EC7" wp14:editId="1A20BE66">
              <wp:simplePos x="0" y="0"/>
              <wp:positionH relativeFrom="margin">
                <wp:posOffset>0</wp:posOffset>
              </wp:positionH>
              <wp:positionV relativeFrom="paragraph">
                <wp:posOffset>545036</wp:posOffset>
              </wp:positionV>
              <wp:extent cx="6083935" cy="0"/>
              <wp:effectExtent l="0" t="0" r="0" b="0"/>
              <wp:wrapNone/>
              <wp:docPr id="117715773" name="Straight Connector 117715773"/>
              <wp:cNvGraphicFramePr/>
              <a:graphic xmlns:a="http://schemas.openxmlformats.org/drawingml/2006/main">
                <a:graphicData uri="http://schemas.microsoft.com/office/word/2010/wordprocessingShape">
                  <wps:wsp>
                    <wps:cNvCnPr/>
                    <wps:spPr>
                      <a:xfrm flipV="1">
                        <a:off x="0" y="0"/>
                        <a:ext cx="608393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F598B0B" id="Straight Connector 117715773" o:spid="_x0000_s1026" style="position:absolute;flip:y;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42.9pt" to="479.05pt,4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" strokecolor="black [3213]" strokeweight=".5pt">
              <v:stroke joinstyle="miter"/>
              <w10:wrap anchorx="margin"/>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402FA6"/>
    <w:multiLevelType w:val="hybridMultilevel"/>
    <w:tmpl w:val="61E4C6E2"/>
    <w:lvl w:ilvl="0" w:tplc="6950882C">
      <w:numFmt w:val="bullet"/>
      <w:pStyle w:val="02Aufzhlung"/>
      <w:lvlText w:val="•"/>
      <w:lvlJc w:val="left"/>
      <w:pPr>
        <w:ind w:left="510" w:hanging="510"/>
      </w:pPr>
      <w:rPr>
        <w:rFonts w:ascii="CompatilFactLTPro-Rg" w:eastAsiaTheme="minorHAnsi" w:hAnsi="CompatilFactLTPro-Rg" w:cs="Compatil Fact LT Pro" w:hint="default"/>
      </w:rPr>
    </w:lvl>
    <w:lvl w:ilvl="1" w:tplc="04070003" w:tentative="1">
      <w:start w:val="1"/>
      <w:numFmt w:val="bullet"/>
      <w:lvlText w:val="o"/>
      <w:lvlJc w:val="left"/>
      <w:pPr>
        <w:ind w:left="1440" w:hanging="360"/>
      </w:pPr>
      <w:rPr>
        <w:rFonts w:ascii="Courier New" w:hAnsi="Courier New" w:cs="Compatil Fact LT Pro"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mpatil Fact LT Pro"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mpatil Fact LT Pro"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94D50DA"/>
    <w:multiLevelType w:val="hybridMultilevel"/>
    <w:tmpl w:val="E7E85D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C663AFF"/>
    <w:multiLevelType w:val="hybridMultilevel"/>
    <w:tmpl w:val="FC7E1BBE"/>
    <w:lvl w:ilvl="0" w:tplc="B798E1BC">
      <w:start w:val="1"/>
      <w:numFmt w:val="bullet"/>
      <w:lvlText w:val=""/>
      <w:lvlJc w:val="left"/>
      <w:pPr>
        <w:ind w:left="720" w:hanging="360"/>
      </w:pPr>
      <w:rPr>
        <w:rFonts w:ascii="Symbol" w:hAnsi="Symbol"/>
      </w:rPr>
    </w:lvl>
    <w:lvl w:ilvl="1" w:tplc="84A8858E">
      <w:start w:val="1"/>
      <w:numFmt w:val="bullet"/>
      <w:lvlText w:val=""/>
      <w:lvlJc w:val="left"/>
      <w:pPr>
        <w:ind w:left="720" w:hanging="360"/>
      </w:pPr>
      <w:rPr>
        <w:rFonts w:ascii="Symbol" w:hAnsi="Symbol"/>
      </w:rPr>
    </w:lvl>
    <w:lvl w:ilvl="2" w:tplc="2A403106">
      <w:start w:val="1"/>
      <w:numFmt w:val="bullet"/>
      <w:lvlText w:val=""/>
      <w:lvlJc w:val="left"/>
      <w:pPr>
        <w:ind w:left="720" w:hanging="360"/>
      </w:pPr>
      <w:rPr>
        <w:rFonts w:ascii="Symbol" w:hAnsi="Symbol"/>
      </w:rPr>
    </w:lvl>
    <w:lvl w:ilvl="3" w:tplc="14A661E2">
      <w:start w:val="1"/>
      <w:numFmt w:val="bullet"/>
      <w:lvlText w:val=""/>
      <w:lvlJc w:val="left"/>
      <w:pPr>
        <w:ind w:left="720" w:hanging="360"/>
      </w:pPr>
      <w:rPr>
        <w:rFonts w:ascii="Symbol" w:hAnsi="Symbol"/>
      </w:rPr>
    </w:lvl>
    <w:lvl w:ilvl="4" w:tplc="7CE60E3A">
      <w:start w:val="1"/>
      <w:numFmt w:val="bullet"/>
      <w:lvlText w:val=""/>
      <w:lvlJc w:val="left"/>
      <w:pPr>
        <w:ind w:left="720" w:hanging="360"/>
      </w:pPr>
      <w:rPr>
        <w:rFonts w:ascii="Symbol" w:hAnsi="Symbol"/>
      </w:rPr>
    </w:lvl>
    <w:lvl w:ilvl="5" w:tplc="045A5124">
      <w:start w:val="1"/>
      <w:numFmt w:val="bullet"/>
      <w:lvlText w:val=""/>
      <w:lvlJc w:val="left"/>
      <w:pPr>
        <w:ind w:left="720" w:hanging="360"/>
      </w:pPr>
      <w:rPr>
        <w:rFonts w:ascii="Symbol" w:hAnsi="Symbol"/>
      </w:rPr>
    </w:lvl>
    <w:lvl w:ilvl="6" w:tplc="5C3A7F7A">
      <w:start w:val="1"/>
      <w:numFmt w:val="bullet"/>
      <w:lvlText w:val=""/>
      <w:lvlJc w:val="left"/>
      <w:pPr>
        <w:ind w:left="720" w:hanging="360"/>
      </w:pPr>
      <w:rPr>
        <w:rFonts w:ascii="Symbol" w:hAnsi="Symbol"/>
      </w:rPr>
    </w:lvl>
    <w:lvl w:ilvl="7" w:tplc="E0966C74">
      <w:start w:val="1"/>
      <w:numFmt w:val="bullet"/>
      <w:lvlText w:val=""/>
      <w:lvlJc w:val="left"/>
      <w:pPr>
        <w:ind w:left="720" w:hanging="360"/>
      </w:pPr>
      <w:rPr>
        <w:rFonts w:ascii="Symbol" w:hAnsi="Symbol"/>
      </w:rPr>
    </w:lvl>
    <w:lvl w:ilvl="8" w:tplc="2A7E707A">
      <w:start w:val="1"/>
      <w:numFmt w:val="bullet"/>
      <w:lvlText w:val=""/>
      <w:lvlJc w:val="left"/>
      <w:pPr>
        <w:ind w:left="720" w:hanging="360"/>
      </w:pPr>
      <w:rPr>
        <w:rFonts w:ascii="Symbol" w:hAnsi="Symbol"/>
      </w:rPr>
    </w:lvl>
  </w:abstractNum>
  <w:num w:numId="1" w16cid:durableId="1733964447">
    <w:abstractNumId w:val="0"/>
  </w:num>
  <w:num w:numId="2" w16cid:durableId="549997903">
    <w:abstractNumId w:val="1"/>
  </w:num>
  <w:num w:numId="3" w16cid:durableId="110765555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4354"/>
    <w:rsid w:val="0000378C"/>
    <w:rsid w:val="0000487A"/>
    <w:rsid w:val="00006CAF"/>
    <w:rsid w:val="00015897"/>
    <w:rsid w:val="00017EF9"/>
    <w:rsid w:val="000238F8"/>
    <w:rsid w:val="00027B7D"/>
    <w:rsid w:val="00037DD4"/>
    <w:rsid w:val="00037E68"/>
    <w:rsid w:val="00037F72"/>
    <w:rsid w:val="0004559C"/>
    <w:rsid w:val="00052967"/>
    <w:rsid w:val="000608E2"/>
    <w:rsid w:val="00062567"/>
    <w:rsid w:val="00064451"/>
    <w:rsid w:val="00070AC0"/>
    <w:rsid w:val="0007588D"/>
    <w:rsid w:val="00077427"/>
    <w:rsid w:val="0009020F"/>
    <w:rsid w:val="00090F58"/>
    <w:rsid w:val="00096777"/>
    <w:rsid w:val="000B4632"/>
    <w:rsid w:val="000C2562"/>
    <w:rsid w:val="000C4B50"/>
    <w:rsid w:val="000C6115"/>
    <w:rsid w:val="000C663B"/>
    <w:rsid w:val="000D4C72"/>
    <w:rsid w:val="000D7372"/>
    <w:rsid w:val="000E39BD"/>
    <w:rsid w:val="000F1F3F"/>
    <w:rsid w:val="000F3F5B"/>
    <w:rsid w:val="00104B31"/>
    <w:rsid w:val="00105215"/>
    <w:rsid w:val="001063AF"/>
    <w:rsid w:val="001118C3"/>
    <w:rsid w:val="00116F19"/>
    <w:rsid w:val="00123890"/>
    <w:rsid w:val="00126272"/>
    <w:rsid w:val="00130925"/>
    <w:rsid w:val="00130DBB"/>
    <w:rsid w:val="001321E2"/>
    <w:rsid w:val="0013228C"/>
    <w:rsid w:val="00134EB7"/>
    <w:rsid w:val="00145B3C"/>
    <w:rsid w:val="0014791F"/>
    <w:rsid w:val="00154FF0"/>
    <w:rsid w:val="00157B99"/>
    <w:rsid w:val="001658FC"/>
    <w:rsid w:val="001675D9"/>
    <w:rsid w:val="0018294F"/>
    <w:rsid w:val="00184236"/>
    <w:rsid w:val="00184538"/>
    <w:rsid w:val="00187339"/>
    <w:rsid w:val="001900CC"/>
    <w:rsid w:val="001906A8"/>
    <w:rsid w:val="00192B89"/>
    <w:rsid w:val="00194CD4"/>
    <w:rsid w:val="001970AC"/>
    <w:rsid w:val="001A1CFB"/>
    <w:rsid w:val="001A473B"/>
    <w:rsid w:val="001B1659"/>
    <w:rsid w:val="001B18B1"/>
    <w:rsid w:val="001B29BD"/>
    <w:rsid w:val="001B4E17"/>
    <w:rsid w:val="001B58CB"/>
    <w:rsid w:val="001C1EFC"/>
    <w:rsid w:val="001C24D1"/>
    <w:rsid w:val="001C6C4C"/>
    <w:rsid w:val="001D496F"/>
    <w:rsid w:val="001D607A"/>
    <w:rsid w:val="001E2641"/>
    <w:rsid w:val="001E5153"/>
    <w:rsid w:val="001E6939"/>
    <w:rsid w:val="001F0331"/>
    <w:rsid w:val="001F728B"/>
    <w:rsid w:val="001F7C03"/>
    <w:rsid w:val="002020A2"/>
    <w:rsid w:val="00205087"/>
    <w:rsid w:val="0022312D"/>
    <w:rsid w:val="00224FF5"/>
    <w:rsid w:val="00233649"/>
    <w:rsid w:val="00234722"/>
    <w:rsid w:val="002361B9"/>
    <w:rsid w:val="00236B8A"/>
    <w:rsid w:val="00237194"/>
    <w:rsid w:val="00256B3C"/>
    <w:rsid w:val="0027447A"/>
    <w:rsid w:val="00286B74"/>
    <w:rsid w:val="00287817"/>
    <w:rsid w:val="002A21A4"/>
    <w:rsid w:val="002A2C78"/>
    <w:rsid w:val="002A5412"/>
    <w:rsid w:val="002B2BF8"/>
    <w:rsid w:val="002B6B1C"/>
    <w:rsid w:val="002C2245"/>
    <w:rsid w:val="002C5E8B"/>
    <w:rsid w:val="002D021D"/>
    <w:rsid w:val="002D2B20"/>
    <w:rsid w:val="002D65B1"/>
    <w:rsid w:val="002E15B3"/>
    <w:rsid w:val="002E498A"/>
    <w:rsid w:val="002F28F8"/>
    <w:rsid w:val="002F29D6"/>
    <w:rsid w:val="002F7B27"/>
    <w:rsid w:val="0030564A"/>
    <w:rsid w:val="00305DD1"/>
    <w:rsid w:val="003110F9"/>
    <w:rsid w:val="003130E0"/>
    <w:rsid w:val="003147B4"/>
    <w:rsid w:val="00314BD4"/>
    <w:rsid w:val="003161C5"/>
    <w:rsid w:val="0031754B"/>
    <w:rsid w:val="00336375"/>
    <w:rsid w:val="00337C81"/>
    <w:rsid w:val="00341223"/>
    <w:rsid w:val="0036022D"/>
    <w:rsid w:val="00360D95"/>
    <w:rsid w:val="00361C8E"/>
    <w:rsid w:val="003638F1"/>
    <w:rsid w:val="00363EA0"/>
    <w:rsid w:val="0036588C"/>
    <w:rsid w:val="00366AD2"/>
    <w:rsid w:val="00376877"/>
    <w:rsid w:val="00382E4B"/>
    <w:rsid w:val="00384517"/>
    <w:rsid w:val="00395EA6"/>
    <w:rsid w:val="003A1578"/>
    <w:rsid w:val="003A34AF"/>
    <w:rsid w:val="003A560E"/>
    <w:rsid w:val="003B2DBC"/>
    <w:rsid w:val="003C23A1"/>
    <w:rsid w:val="003C7418"/>
    <w:rsid w:val="003D2B92"/>
    <w:rsid w:val="003E063A"/>
    <w:rsid w:val="003E5140"/>
    <w:rsid w:val="003F061A"/>
    <w:rsid w:val="003F4354"/>
    <w:rsid w:val="003F4FCF"/>
    <w:rsid w:val="00406CFC"/>
    <w:rsid w:val="00415D9B"/>
    <w:rsid w:val="00417B6E"/>
    <w:rsid w:val="00420338"/>
    <w:rsid w:val="00421B21"/>
    <w:rsid w:val="00423F11"/>
    <w:rsid w:val="004257A3"/>
    <w:rsid w:val="004263D1"/>
    <w:rsid w:val="0043476A"/>
    <w:rsid w:val="0045052C"/>
    <w:rsid w:val="00452AA1"/>
    <w:rsid w:val="00460C22"/>
    <w:rsid w:val="00462E07"/>
    <w:rsid w:val="00462F48"/>
    <w:rsid w:val="00467CCF"/>
    <w:rsid w:val="00472140"/>
    <w:rsid w:val="00474E99"/>
    <w:rsid w:val="00475722"/>
    <w:rsid w:val="00476D17"/>
    <w:rsid w:val="0047725A"/>
    <w:rsid w:val="0048230D"/>
    <w:rsid w:val="004836A6"/>
    <w:rsid w:val="00483F4D"/>
    <w:rsid w:val="00486B7F"/>
    <w:rsid w:val="00497729"/>
    <w:rsid w:val="004A4F9E"/>
    <w:rsid w:val="004A716A"/>
    <w:rsid w:val="004A7C30"/>
    <w:rsid w:val="004B34A4"/>
    <w:rsid w:val="004B54C1"/>
    <w:rsid w:val="004C06E8"/>
    <w:rsid w:val="004D575D"/>
    <w:rsid w:val="004E26A3"/>
    <w:rsid w:val="004E354E"/>
    <w:rsid w:val="004F05A5"/>
    <w:rsid w:val="004F4CDE"/>
    <w:rsid w:val="004F5BF2"/>
    <w:rsid w:val="00515E24"/>
    <w:rsid w:val="00520F63"/>
    <w:rsid w:val="005415D3"/>
    <w:rsid w:val="005517F7"/>
    <w:rsid w:val="0055268F"/>
    <w:rsid w:val="005557A1"/>
    <w:rsid w:val="00555C0B"/>
    <w:rsid w:val="00560FA3"/>
    <w:rsid w:val="00565153"/>
    <w:rsid w:val="005717A9"/>
    <w:rsid w:val="00571C8A"/>
    <w:rsid w:val="00582C26"/>
    <w:rsid w:val="00582D60"/>
    <w:rsid w:val="00584408"/>
    <w:rsid w:val="005958B8"/>
    <w:rsid w:val="005A1F4E"/>
    <w:rsid w:val="005A2D0A"/>
    <w:rsid w:val="005A572D"/>
    <w:rsid w:val="005B0513"/>
    <w:rsid w:val="005C195B"/>
    <w:rsid w:val="005D0FC9"/>
    <w:rsid w:val="005D21D0"/>
    <w:rsid w:val="005E3136"/>
    <w:rsid w:val="005E4215"/>
    <w:rsid w:val="005E5E99"/>
    <w:rsid w:val="005F17E1"/>
    <w:rsid w:val="005F4461"/>
    <w:rsid w:val="00600CE3"/>
    <w:rsid w:val="0060732E"/>
    <w:rsid w:val="00610B2B"/>
    <w:rsid w:val="00611A27"/>
    <w:rsid w:val="00614064"/>
    <w:rsid w:val="00614EBE"/>
    <w:rsid w:val="006161A6"/>
    <w:rsid w:val="00617CCA"/>
    <w:rsid w:val="006229A8"/>
    <w:rsid w:val="00623D62"/>
    <w:rsid w:val="00630EC1"/>
    <w:rsid w:val="00641E02"/>
    <w:rsid w:val="00656269"/>
    <w:rsid w:val="00676D80"/>
    <w:rsid w:val="00676F02"/>
    <w:rsid w:val="00682468"/>
    <w:rsid w:val="006828B6"/>
    <w:rsid w:val="00687ED7"/>
    <w:rsid w:val="00690B80"/>
    <w:rsid w:val="00694214"/>
    <w:rsid w:val="006A1B59"/>
    <w:rsid w:val="006A28CB"/>
    <w:rsid w:val="006A5B90"/>
    <w:rsid w:val="006B0BB7"/>
    <w:rsid w:val="006B1079"/>
    <w:rsid w:val="006B1EC2"/>
    <w:rsid w:val="006B73B2"/>
    <w:rsid w:val="006D1DA4"/>
    <w:rsid w:val="006F2E0E"/>
    <w:rsid w:val="006F49FF"/>
    <w:rsid w:val="007121CF"/>
    <w:rsid w:val="00714610"/>
    <w:rsid w:val="00714926"/>
    <w:rsid w:val="0071694B"/>
    <w:rsid w:val="007220DB"/>
    <w:rsid w:val="00722A86"/>
    <w:rsid w:val="00730B7B"/>
    <w:rsid w:val="00733271"/>
    <w:rsid w:val="007363E6"/>
    <w:rsid w:val="00736F18"/>
    <w:rsid w:val="00740D2B"/>
    <w:rsid w:val="00742FA4"/>
    <w:rsid w:val="00746480"/>
    <w:rsid w:val="007509F8"/>
    <w:rsid w:val="00751679"/>
    <w:rsid w:val="00757EDA"/>
    <w:rsid w:val="00760F42"/>
    <w:rsid w:val="00773500"/>
    <w:rsid w:val="00774C66"/>
    <w:rsid w:val="00786C75"/>
    <w:rsid w:val="00793063"/>
    <w:rsid w:val="00796A9D"/>
    <w:rsid w:val="00797432"/>
    <w:rsid w:val="007A2E8F"/>
    <w:rsid w:val="007B004F"/>
    <w:rsid w:val="007B7614"/>
    <w:rsid w:val="007C1E16"/>
    <w:rsid w:val="007C6E1D"/>
    <w:rsid w:val="007C7565"/>
    <w:rsid w:val="007D4FC6"/>
    <w:rsid w:val="007D5D4E"/>
    <w:rsid w:val="007E1A15"/>
    <w:rsid w:val="007E5232"/>
    <w:rsid w:val="007F2386"/>
    <w:rsid w:val="007F5BF3"/>
    <w:rsid w:val="007F74D4"/>
    <w:rsid w:val="00804A9B"/>
    <w:rsid w:val="00806599"/>
    <w:rsid w:val="00816C08"/>
    <w:rsid w:val="00823852"/>
    <w:rsid w:val="00826D7F"/>
    <w:rsid w:val="00832F5F"/>
    <w:rsid w:val="00836514"/>
    <w:rsid w:val="008367D7"/>
    <w:rsid w:val="00840A9C"/>
    <w:rsid w:val="00844F2D"/>
    <w:rsid w:val="008476DC"/>
    <w:rsid w:val="00851CA7"/>
    <w:rsid w:val="00865668"/>
    <w:rsid w:val="0086724E"/>
    <w:rsid w:val="00871108"/>
    <w:rsid w:val="008751A0"/>
    <w:rsid w:val="008801F1"/>
    <w:rsid w:val="00884B65"/>
    <w:rsid w:val="00892B73"/>
    <w:rsid w:val="008A0EE9"/>
    <w:rsid w:val="008A79A8"/>
    <w:rsid w:val="008C5D26"/>
    <w:rsid w:val="008E42C3"/>
    <w:rsid w:val="008F134E"/>
    <w:rsid w:val="008F33FA"/>
    <w:rsid w:val="009074ED"/>
    <w:rsid w:val="009130EA"/>
    <w:rsid w:val="00921555"/>
    <w:rsid w:val="00923443"/>
    <w:rsid w:val="00925B7D"/>
    <w:rsid w:val="009261AC"/>
    <w:rsid w:val="00933EB6"/>
    <w:rsid w:val="0093544D"/>
    <w:rsid w:val="009440C4"/>
    <w:rsid w:val="00945CEB"/>
    <w:rsid w:val="0095443E"/>
    <w:rsid w:val="00960669"/>
    <w:rsid w:val="00966882"/>
    <w:rsid w:val="0097578D"/>
    <w:rsid w:val="009769DF"/>
    <w:rsid w:val="00981364"/>
    <w:rsid w:val="00981651"/>
    <w:rsid w:val="009828FA"/>
    <w:rsid w:val="00982BC2"/>
    <w:rsid w:val="00986563"/>
    <w:rsid w:val="00997D4E"/>
    <w:rsid w:val="009A1C98"/>
    <w:rsid w:val="009B2104"/>
    <w:rsid w:val="009C0E32"/>
    <w:rsid w:val="009E6F3A"/>
    <w:rsid w:val="009F3AAD"/>
    <w:rsid w:val="009F3C12"/>
    <w:rsid w:val="00A061EE"/>
    <w:rsid w:val="00A12134"/>
    <w:rsid w:val="00A262BA"/>
    <w:rsid w:val="00A26617"/>
    <w:rsid w:val="00A310CD"/>
    <w:rsid w:val="00A32E7E"/>
    <w:rsid w:val="00A52806"/>
    <w:rsid w:val="00A52BC7"/>
    <w:rsid w:val="00A53315"/>
    <w:rsid w:val="00A60CF0"/>
    <w:rsid w:val="00A656E0"/>
    <w:rsid w:val="00A663B4"/>
    <w:rsid w:val="00A678F6"/>
    <w:rsid w:val="00A73A84"/>
    <w:rsid w:val="00A7542F"/>
    <w:rsid w:val="00A81256"/>
    <w:rsid w:val="00A81299"/>
    <w:rsid w:val="00A94459"/>
    <w:rsid w:val="00AA5CC5"/>
    <w:rsid w:val="00AA7E63"/>
    <w:rsid w:val="00AC23D7"/>
    <w:rsid w:val="00AC57BA"/>
    <w:rsid w:val="00AC6BBC"/>
    <w:rsid w:val="00AE09F5"/>
    <w:rsid w:val="00B0143B"/>
    <w:rsid w:val="00B05352"/>
    <w:rsid w:val="00B137F4"/>
    <w:rsid w:val="00B13E1F"/>
    <w:rsid w:val="00B22931"/>
    <w:rsid w:val="00B302B4"/>
    <w:rsid w:val="00B35547"/>
    <w:rsid w:val="00B42528"/>
    <w:rsid w:val="00B513DB"/>
    <w:rsid w:val="00B5403A"/>
    <w:rsid w:val="00B5482D"/>
    <w:rsid w:val="00B553AF"/>
    <w:rsid w:val="00B61EE8"/>
    <w:rsid w:val="00B85211"/>
    <w:rsid w:val="00B85CE2"/>
    <w:rsid w:val="00B90A7B"/>
    <w:rsid w:val="00BA334E"/>
    <w:rsid w:val="00BA4810"/>
    <w:rsid w:val="00BA600F"/>
    <w:rsid w:val="00BB530C"/>
    <w:rsid w:val="00BC0FA1"/>
    <w:rsid w:val="00BD1732"/>
    <w:rsid w:val="00BD2F37"/>
    <w:rsid w:val="00BD3B01"/>
    <w:rsid w:val="00BE4469"/>
    <w:rsid w:val="00BE4855"/>
    <w:rsid w:val="00BF0D9C"/>
    <w:rsid w:val="00BF14DF"/>
    <w:rsid w:val="00BF412D"/>
    <w:rsid w:val="00BF6E5B"/>
    <w:rsid w:val="00C04787"/>
    <w:rsid w:val="00C123AD"/>
    <w:rsid w:val="00C159F0"/>
    <w:rsid w:val="00C16C83"/>
    <w:rsid w:val="00C272F0"/>
    <w:rsid w:val="00C275B5"/>
    <w:rsid w:val="00C3200F"/>
    <w:rsid w:val="00C37B79"/>
    <w:rsid w:val="00C47C47"/>
    <w:rsid w:val="00C544E1"/>
    <w:rsid w:val="00C56313"/>
    <w:rsid w:val="00C60936"/>
    <w:rsid w:val="00C65FCE"/>
    <w:rsid w:val="00C66A5C"/>
    <w:rsid w:val="00C66DFD"/>
    <w:rsid w:val="00C73520"/>
    <w:rsid w:val="00C875D6"/>
    <w:rsid w:val="00CA3E75"/>
    <w:rsid w:val="00CB3296"/>
    <w:rsid w:val="00CB3ED8"/>
    <w:rsid w:val="00CB6A32"/>
    <w:rsid w:val="00CB71EF"/>
    <w:rsid w:val="00CC7908"/>
    <w:rsid w:val="00CD38C4"/>
    <w:rsid w:val="00CD3FD8"/>
    <w:rsid w:val="00CD49B9"/>
    <w:rsid w:val="00CE0337"/>
    <w:rsid w:val="00CE0B0B"/>
    <w:rsid w:val="00CE146D"/>
    <w:rsid w:val="00CE1C4B"/>
    <w:rsid w:val="00CF38E9"/>
    <w:rsid w:val="00CF7C86"/>
    <w:rsid w:val="00D13E41"/>
    <w:rsid w:val="00D15170"/>
    <w:rsid w:val="00D156D2"/>
    <w:rsid w:val="00D250D2"/>
    <w:rsid w:val="00D306A8"/>
    <w:rsid w:val="00D30A66"/>
    <w:rsid w:val="00D3653C"/>
    <w:rsid w:val="00D3743D"/>
    <w:rsid w:val="00D37EF7"/>
    <w:rsid w:val="00D42242"/>
    <w:rsid w:val="00D42ADD"/>
    <w:rsid w:val="00D42DFD"/>
    <w:rsid w:val="00D57DA7"/>
    <w:rsid w:val="00D60CB1"/>
    <w:rsid w:val="00D61F65"/>
    <w:rsid w:val="00D62AB6"/>
    <w:rsid w:val="00D630BE"/>
    <w:rsid w:val="00D67734"/>
    <w:rsid w:val="00D73E9C"/>
    <w:rsid w:val="00D80947"/>
    <w:rsid w:val="00D94630"/>
    <w:rsid w:val="00D95883"/>
    <w:rsid w:val="00DA5D78"/>
    <w:rsid w:val="00DB7DDE"/>
    <w:rsid w:val="00DC4B72"/>
    <w:rsid w:val="00DD34AB"/>
    <w:rsid w:val="00DE7D1E"/>
    <w:rsid w:val="00DF0E7E"/>
    <w:rsid w:val="00DF13E3"/>
    <w:rsid w:val="00DF3D83"/>
    <w:rsid w:val="00E00C2D"/>
    <w:rsid w:val="00E17079"/>
    <w:rsid w:val="00E21050"/>
    <w:rsid w:val="00E24FA1"/>
    <w:rsid w:val="00E369D6"/>
    <w:rsid w:val="00E4196B"/>
    <w:rsid w:val="00E44077"/>
    <w:rsid w:val="00E47C34"/>
    <w:rsid w:val="00E5258B"/>
    <w:rsid w:val="00E75870"/>
    <w:rsid w:val="00E80F8C"/>
    <w:rsid w:val="00E853BD"/>
    <w:rsid w:val="00E95CC3"/>
    <w:rsid w:val="00EA4FF0"/>
    <w:rsid w:val="00EA5521"/>
    <w:rsid w:val="00EC7361"/>
    <w:rsid w:val="00ED0252"/>
    <w:rsid w:val="00ED2CB4"/>
    <w:rsid w:val="00ED61FD"/>
    <w:rsid w:val="00EE5702"/>
    <w:rsid w:val="00EF0ADE"/>
    <w:rsid w:val="00F00931"/>
    <w:rsid w:val="00F0729F"/>
    <w:rsid w:val="00F23170"/>
    <w:rsid w:val="00F26F95"/>
    <w:rsid w:val="00F32835"/>
    <w:rsid w:val="00F36D17"/>
    <w:rsid w:val="00F40285"/>
    <w:rsid w:val="00F453B6"/>
    <w:rsid w:val="00F45ABD"/>
    <w:rsid w:val="00F53772"/>
    <w:rsid w:val="00F563A7"/>
    <w:rsid w:val="00F568ED"/>
    <w:rsid w:val="00F57280"/>
    <w:rsid w:val="00F577BC"/>
    <w:rsid w:val="00F62830"/>
    <w:rsid w:val="00F6298C"/>
    <w:rsid w:val="00F649DF"/>
    <w:rsid w:val="00F6619C"/>
    <w:rsid w:val="00F8349C"/>
    <w:rsid w:val="00F976AF"/>
    <w:rsid w:val="00F97F3B"/>
    <w:rsid w:val="00FA62CC"/>
    <w:rsid w:val="00FA6933"/>
    <w:rsid w:val="00FB7EB9"/>
    <w:rsid w:val="00FC05E1"/>
    <w:rsid w:val="00FC0BF4"/>
    <w:rsid w:val="00FC5C48"/>
    <w:rsid w:val="00FD4F3C"/>
    <w:rsid w:val="00FD6281"/>
    <w:rsid w:val="00FE1AF4"/>
    <w:rsid w:val="00FE1FF1"/>
    <w:rsid w:val="020B17FD"/>
    <w:rsid w:val="0342E205"/>
    <w:rsid w:val="0401FF20"/>
    <w:rsid w:val="04324682"/>
    <w:rsid w:val="087E23D2"/>
    <w:rsid w:val="0A237E79"/>
    <w:rsid w:val="0AC738DA"/>
    <w:rsid w:val="0DA25DA7"/>
    <w:rsid w:val="1576D5E5"/>
    <w:rsid w:val="1B2C5F59"/>
    <w:rsid w:val="2541ADE3"/>
    <w:rsid w:val="2BDA6CB2"/>
    <w:rsid w:val="2EED6725"/>
    <w:rsid w:val="35669FC0"/>
    <w:rsid w:val="3869E2D6"/>
    <w:rsid w:val="39461EC9"/>
    <w:rsid w:val="3F58B9EB"/>
    <w:rsid w:val="407C62EF"/>
    <w:rsid w:val="41F74C4D"/>
    <w:rsid w:val="43FD760B"/>
    <w:rsid w:val="48A1277A"/>
    <w:rsid w:val="4D553D2A"/>
    <w:rsid w:val="4E615A53"/>
    <w:rsid w:val="5F729CEA"/>
    <w:rsid w:val="62A7542D"/>
    <w:rsid w:val="674B5FA9"/>
    <w:rsid w:val="6DCC7DC3"/>
    <w:rsid w:val="6E887ED0"/>
    <w:rsid w:val="778B5938"/>
    <w:rsid w:val="7983DAA7"/>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EFFFD7"/>
  <w15:chartTrackingRefBased/>
  <w15:docId w15:val="{F0467BE9-ADE2-4074-8BA7-7D75DA9A60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3F435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3F435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3F4354"/>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3F4354"/>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3F4354"/>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3F4354"/>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3F4354"/>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3F4354"/>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3F4354"/>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3F4354"/>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3F4354"/>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3F4354"/>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3F4354"/>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3F4354"/>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3F4354"/>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3F4354"/>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3F4354"/>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3F4354"/>
    <w:rPr>
      <w:rFonts w:eastAsiaTheme="majorEastAsia" w:cstheme="majorBidi"/>
      <w:color w:val="272727" w:themeColor="text1" w:themeTint="D8"/>
    </w:rPr>
  </w:style>
  <w:style w:type="paragraph" w:styleId="Titel">
    <w:name w:val="Title"/>
    <w:basedOn w:val="Standard"/>
    <w:next w:val="Standard"/>
    <w:link w:val="TitelZchn"/>
    <w:uiPriority w:val="10"/>
    <w:qFormat/>
    <w:rsid w:val="003F435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3F4354"/>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3F4354"/>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3F4354"/>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3F4354"/>
    <w:pPr>
      <w:spacing w:before="160"/>
      <w:jc w:val="center"/>
    </w:pPr>
    <w:rPr>
      <w:i/>
      <w:iCs/>
      <w:color w:val="404040" w:themeColor="text1" w:themeTint="BF"/>
    </w:rPr>
  </w:style>
  <w:style w:type="character" w:customStyle="1" w:styleId="ZitatZchn">
    <w:name w:val="Zitat Zchn"/>
    <w:basedOn w:val="Absatz-Standardschriftart"/>
    <w:link w:val="Zitat"/>
    <w:uiPriority w:val="29"/>
    <w:rsid w:val="003F4354"/>
    <w:rPr>
      <w:i/>
      <w:iCs/>
      <w:color w:val="404040" w:themeColor="text1" w:themeTint="BF"/>
    </w:rPr>
  </w:style>
  <w:style w:type="paragraph" w:styleId="Listenabsatz">
    <w:name w:val="List Paragraph"/>
    <w:basedOn w:val="Standard"/>
    <w:uiPriority w:val="34"/>
    <w:qFormat/>
    <w:rsid w:val="003F4354"/>
    <w:pPr>
      <w:ind w:left="720"/>
      <w:contextualSpacing/>
    </w:pPr>
  </w:style>
  <w:style w:type="character" w:styleId="IntensiveHervorhebung">
    <w:name w:val="Intense Emphasis"/>
    <w:basedOn w:val="Absatz-Standardschriftart"/>
    <w:uiPriority w:val="21"/>
    <w:qFormat/>
    <w:rsid w:val="003F4354"/>
    <w:rPr>
      <w:i/>
      <w:iCs/>
      <w:color w:val="0F4761" w:themeColor="accent1" w:themeShade="BF"/>
    </w:rPr>
  </w:style>
  <w:style w:type="paragraph" w:styleId="IntensivesZitat">
    <w:name w:val="Intense Quote"/>
    <w:basedOn w:val="Standard"/>
    <w:next w:val="Standard"/>
    <w:link w:val="IntensivesZitatZchn"/>
    <w:uiPriority w:val="30"/>
    <w:qFormat/>
    <w:rsid w:val="003F435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3F4354"/>
    <w:rPr>
      <w:i/>
      <w:iCs/>
      <w:color w:val="0F4761" w:themeColor="accent1" w:themeShade="BF"/>
    </w:rPr>
  </w:style>
  <w:style w:type="character" w:styleId="IntensiverVerweis">
    <w:name w:val="Intense Reference"/>
    <w:basedOn w:val="Absatz-Standardschriftart"/>
    <w:uiPriority w:val="32"/>
    <w:qFormat/>
    <w:rsid w:val="003F4354"/>
    <w:rPr>
      <w:b/>
      <w:bCs/>
      <w:smallCaps/>
      <w:color w:val="0F4761" w:themeColor="accent1" w:themeShade="BF"/>
      <w:spacing w:val="5"/>
    </w:rPr>
  </w:style>
  <w:style w:type="paragraph" w:styleId="Kopfzeile">
    <w:name w:val="header"/>
    <w:basedOn w:val="Standard"/>
    <w:link w:val="KopfzeileZchn"/>
    <w:uiPriority w:val="99"/>
    <w:unhideWhenUsed/>
    <w:rsid w:val="003F4354"/>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3F4354"/>
  </w:style>
  <w:style w:type="paragraph" w:styleId="Fuzeile">
    <w:name w:val="footer"/>
    <w:basedOn w:val="Standard"/>
    <w:link w:val="FuzeileZchn"/>
    <w:uiPriority w:val="99"/>
    <w:unhideWhenUsed/>
    <w:rsid w:val="003F4354"/>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3F4354"/>
  </w:style>
  <w:style w:type="paragraph" w:customStyle="1" w:styleId="EinfAbs">
    <w:name w:val="[Einf. Abs.]"/>
    <w:basedOn w:val="Standard"/>
    <w:uiPriority w:val="99"/>
    <w:rsid w:val="003F4354"/>
    <w:pPr>
      <w:widowControl w:val="0"/>
      <w:autoSpaceDE w:val="0"/>
      <w:autoSpaceDN w:val="0"/>
      <w:adjustRightInd w:val="0"/>
      <w:spacing w:after="0" w:line="288" w:lineRule="auto"/>
      <w:textAlignment w:val="center"/>
    </w:pPr>
    <w:rPr>
      <w:rFonts w:ascii="MinionPro-Regular" w:hAnsi="MinionPro-Regular" w:cs="MinionPro-Regular"/>
      <w:color w:val="000000"/>
      <w:sz w:val="24"/>
      <w:szCs w:val="24"/>
      <w:lang w:val="de-DE"/>
      <w14:ligatures w14:val="none"/>
    </w:rPr>
  </w:style>
  <w:style w:type="character" w:styleId="Hyperlink">
    <w:name w:val="Hyperlink"/>
    <w:basedOn w:val="Absatz-Standardschriftart"/>
    <w:uiPriority w:val="99"/>
    <w:unhideWhenUsed/>
    <w:rsid w:val="003F4354"/>
    <w:rPr>
      <w:color w:val="467886" w:themeColor="hyperlink"/>
      <w:u w:val="single"/>
    </w:rPr>
  </w:style>
  <w:style w:type="paragraph" w:customStyle="1" w:styleId="02Aufzhlung">
    <w:name w:val="02_Aufzählung"/>
    <w:basedOn w:val="Standard"/>
    <w:qFormat/>
    <w:rsid w:val="001906A8"/>
    <w:pPr>
      <w:widowControl w:val="0"/>
      <w:numPr>
        <w:numId w:val="1"/>
      </w:numPr>
      <w:tabs>
        <w:tab w:val="left" w:pos="340"/>
      </w:tabs>
      <w:autoSpaceDE w:val="0"/>
      <w:autoSpaceDN w:val="0"/>
      <w:adjustRightInd w:val="0"/>
      <w:spacing w:after="0" w:line="288" w:lineRule="auto"/>
      <w:textAlignment w:val="center"/>
    </w:pPr>
    <w:rPr>
      <w:rFonts w:ascii="CompatilFactLTPro-Rg" w:hAnsi="CompatilFactLTPro-Rg" w:cs="CompatilFactLTPro-Rg"/>
      <w:color w:val="000000"/>
      <w:lang w:val="de-DE"/>
      <w14:ligatures w14:val="none"/>
    </w:rPr>
  </w:style>
  <w:style w:type="paragraph" w:styleId="berarbeitung">
    <w:name w:val="Revision"/>
    <w:hidden/>
    <w:uiPriority w:val="99"/>
    <w:semiHidden/>
    <w:rsid w:val="00105215"/>
    <w:pPr>
      <w:spacing w:after="0" w:line="240" w:lineRule="auto"/>
    </w:pPr>
  </w:style>
  <w:style w:type="character" w:styleId="Kommentarzeichen">
    <w:name w:val="annotation reference"/>
    <w:basedOn w:val="Absatz-Standardschriftart"/>
    <w:uiPriority w:val="99"/>
    <w:semiHidden/>
    <w:unhideWhenUsed/>
    <w:rsid w:val="009261AC"/>
    <w:rPr>
      <w:sz w:val="16"/>
      <w:szCs w:val="16"/>
    </w:rPr>
  </w:style>
  <w:style w:type="paragraph" w:styleId="Kommentartext">
    <w:name w:val="annotation text"/>
    <w:basedOn w:val="Standard"/>
    <w:link w:val="KommentartextZchn"/>
    <w:uiPriority w:val="99"/>
    <w:unhideWhenUsed/>
    <w:rsid w:val="009261AC"/>
    <w:pPr>
      <w:spacing w:line="240" w:lineRule="auto"/>
    </w:pPr>
    <w:rPr>
      <w:sz w:val="20"/>
      <w:szCs w:val="20"/>
    </w:rPr>
  </w:style>
  <w:style w:type="character" w:customStyle="1" w:styleId="KommentartextZchn">
    <w:name w:val="Kommentartext Zchn"/>
    <w:basedOn w:val="Absatz-Standardschriftart"/>
    <w:link w:val="Kommentartext"/>
    <w:uiPriority w:val="99"/>
    <w:rsid w:val="009261AC"/>
    <w:rPr>
      <w:sz w:val="20"/>
      <w:szCs w:val="20"/>
    </w:rPr>
  </w:style>
  <w:style w:type="paragraph" w:styleId="Kommentarthema">
    <w:name w:val="annotation subject"/>
    <w:basedOn w:val="Kommentartext"/>
    <w:next w:val="Kommentartext"/>
    <w:link w:val="KommentarthemaZchn"/>
    <w:uiPriority w:val="99"/>
    <w:semiHidden/>
    <w:unhideWhenUsed/>
    <w:rsid w:val="009261AC"/>
    <w:rPr>
      <w:b/>
      <w:bCs/>
    </w:rPr>
  </w:style>
  <w:style w:type="character" w:customStyle="1" w:styleId="KommentarthemaZchn">
    <w:name w:val="Kommentarthema Zchn"/>
    <w:basedOn w:val="KommentartextZchn"/>
    <w:link w:val="Kommentarthema"/>
    <w:uiPriority w:val="99"/>
    <w:semiHidden/>
    <w:rsid w:val="009261AC"/>
    <w:rPr>
      <w:b/>
      <w:bCs/>
      <w:sz w:val="20"/>
      <w:szCs w:val="20"/>
    </w:rPr>
  </w:style>
  <w:style w:type="character" w:styleId="Erwhnung">
    <w:name w:val="Mention"/>
    <w:basedOn w:val="Absatz-Standardschriftart"/>
    <w:uiPriority w:val="99"/>
    <w:unhideWhenUsed/>
    <w:rsid w:val="00BD2F37"/>
    <w:rPr>
      <w:color w:val="2B579A"/>
      <w:shd w:val="clear" w:color="auto" w:fill="E1DFDD"/>
    </w:rPr>
  </w:style>
  <w:style w:type="paragraph" w:styleId="StandardWeb">
    <w:name w:val="Normal (Web)"/>
    <w:basedOn w:val="Standard"/>
    <w:uiPriority w:val="99"/>
    <w:semiHidden/>
    <w:unhideWhenUsed/>
    <w:rsid w:val="00E853BD"/>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5.gif"/></Relationships>
</file>

<file path=word/_rels/header1.xml.rels><?xml version="1.0" encoding="UTF-8" standalone="yes"?>
<Relationships xmlns="http://schemas.openxmlformats.org/package/2006/relationships"><Relationship Id="rId3" Type="http://schemas.openxmlformats.org/officeDocument/2006/relationships/hyperlink" Target="http://www.dmgmori.com" TargetMode="External"/><Relationship Id="rId2" Type="http://schemas.openxmlformats.org/officeDocument/2006/relationships/image" Target="media/image4.jpg"/><Relationship Id="rId1" Type="http://schemas.openxmlformats.org/officeDocument/2006/relationships/image" Target="media/image3.png"/><Relationship Id="rId4" Type="http://schemas.openxmlformats.org/officeDocument/2006/relationships/hyperlink" Target="http://www.dmgmori.com"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2055c578-7ecc-4b39-b3b7-4922d3c0f183">
      <Terms xmlns="http://schemas.microsoft.com/office/infopath/2007/PartnerControls"/>
    </lcf76f155ced4ddcb4097134ff3c332f>
    <TaxCatchAll xmlns="36c3a97b-2ee8-444e-a03c-8210fbab0b97"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96CECEB90B5BDF48B84CD70361BF78E9" ma:contentTypeVersion="14" ma:contentTypeDescription="Ein neues Dokument erstellen." ma:contentTypeScope="" ma:versionID="316696dce6f9fd6677784c7cd4d8c0d8">
  <xsd:schema xmlns:xsd="http://www.w3.org/2001/XMLSchema" xmlns:xs="http://www.w3.org/2001/XMLSchema" xmlns:p="http://schemas.microsoft.com/office/2006/metadata/properties" xmlns:ns2="2055c578-7ecc-4b39-b3b7-4922d3c0f183" xmlns:ns3="36c3a97b-2ee8-444e-a03c-8210fbab0b97" targetNamespace="http://schemas.microsoft.com/office/2006/metadata/properties" ma:root="true" ma:fieldsID="daa3155da6a38e5c7dafa00296747096" ns2:_="" ns3:_="">
    <xsd:import namespace="2055c578-7ecc-4b39-b3b7-4922d3c0f183"/>
    <xsd:import namespace="36c3a97b-2ee8-444e-a03c-8210fbab0b9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LengthInSeconds" minOccurs="0"/>
                <xsd:element ref="ns2:MediaServiceLoca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55c578-7ecc-4b39-b3b7-4922d3c0f18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ca45992-3557-4387-8b2e-87f0e8cb7b91"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6c3a97b-2ee8-444e-a03c-8210fbab0b9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7eab4b38-59fc-44ef-9396-9c7a4d825414}" ma:internalName="TaxCatchAll" ma:showField="CatchAllData" ma:web="36c3a97b-2ee8-444e-a03c-8210fbab0b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AB757DA-C894-4D5F-906D-26C03C396F05}">
  <ds:schemaRefs>
    <ds:schemaRef ds:uri="http://schemas.openxmlformats.org/officeDocument/2006/bibliography"/>
  </ds:schemaRefs>
</ds:datastoreItem>
</file>

<file path=customXml/itemProps2.xml><?xml version="1.0" encoding="utf-8"?>
<ds:datastoreItem xmlns:ds="http://schemas.openxmlformats.org/officeDocument/2006/customXml" ds:itemID="{9BE17C0D-2EE7-45E4-9734-FC295EA50B5A}">
  <ds:schemaRefs>
    <ds:schemaRef ds:uri="http://schemas.microsoft.com/office/2006/metadata/properties"/>
    <ds:schemaRef ds:uri="http://schemas.microsoft.com/office/infopath/2007/PartnerControls"/>
    <ds:schemaRef ds:uri="2055c578-7ecc-4b39-b3b7-4922d3c0f183"/>
    <ds:schemaRef ds:uri="36c3a97b-2ee8-444e-a03c-8210fbab0b97"/>
  </ds:schemaRefs>
</ds:datastoreItem>
</file>

<file path=customXml/itemProps3.xml><?xml version="1.0" encoding="utf-8"?>
<ds:datastoreItem xmlns:ds="http://schemas.openxmlformats.org/officeDocument/2006/customXml" ds:itemID="{EC878A20-130E-435D-B1F3-42F80C37AB78}">
  <ds:schemaRefs>
    <ds:schemaRef ds:uri="http://schemas.microsoft.com/sharepoint/v3/contenttype/forms"/>
  </ds:schemaRefs>
</ds:datastoreItem>
</file>

<file path=customXml/itemProps4.xml><?xml version="1.0" encoding="utf-8"?>
<ds:datastoreItem xmlns:ds="http://schemas.openxmlformats.org/officeDocument/2006/customXml" ds:itemID="{895A408B-BA36-4B7D-99CE-BD5B7576387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055c578-7ecc-4b39-b3b7-4922d3c0f183"/>
    <ds:schemaRef ds:uri="36c3a97b-2ee8-444e-a03c-8210fbab0b9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02036d9e-e633-44bb-9d07-77f03d3bf44c}" enabled="0" method="" siteId="{02036d9e-e633-44bb-9d07-77f03d3bf44c}" removed="1"/>
</clbl:labelList>
</file>

<file path=docProps/app.xml><?xml version="1.0" encoding="utf-8"?>
<Properties xmlns="http://schemas.openxmlformats.org/officeDocument/2006/extended-properties" xmlns:vt="http://schemas.openxmlformats.org/officeDocument/2006/docPropsVTypes">
  <Template>Normal.dotm</Template>
  <TotalTime>0</TotalTime>
  <Pages>4</Pages>
  <Words>787</Words>
  <Characters>5412</Characters>
  <Application>Microsoft Office Word</Application>
  <DocSecurity>0</DocSecurity>
  <Lines>89</Lines>
  <Paragraphs>20</Paragraphs>
  <ScaleCrop>false</ScaleCrop>
  <Company/>
  <LinksUpToDate>false</LinksUpToDate>
  <CharactersWithSpaces>6189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Manzenreiter, Eva</dc:creator>
  <cp:keywords/>
  <dc:description/>
  <cp:lastModifiedBy>Manzenreiter, Eva</cp:lastModifiedBy>
  <cp:revision>5</cp:revision>
  <cp:lastPrinted>2026-01-07T14:34:00Z</cp:lastPrinted>
  <dcterms:created xsi:type="dcterms:W3CDTF">2026-01-20T13:46:00Z</dcterms:created>
  <dcterms:modified xsi:type="dcterms:W3CDTF">2026-01-22T10:45:00Z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0x01010096CECEB90B5BDF48B84CD70361BF78E9</vt:lpwstr>
  </property>
  <property fmtid="{D5CDD505-2E9C-101B-9397-08002B2CF9AE}" pid="3" name="MediaServiceImageTags">
    <vt:lpwstr/>
  </property>
  <property fmtid="{D5CDD505-2E9C-101B-9397-08002B2CF9AE}" pid="4" name="_ExtendedDescription">
    <vt:lpwstr/>
  </property>
  <property fmtid="{D5CDD505-2E9C-101B-9397-08002B2CF9AE}" pid="5" name="docLang">
    <vt:lpwstr>de</vt:lpwstr>
  </property>
</Properties>
</file>